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jc w:val="center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D1C1D"/>
          <w:spacing w:val="0"/>
          <w:sz w:val="40"/>
          <w:szCs w:val="40"/>
        </w:rPr>
        <w:t>Cross-Region capabilities for AWS IoT Core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It's definitely doable to deploy following capabilities: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color w:val="1D1C1D"/>
          <w:spacing w:val="0"/>
          <w:sz w:val="24"/>
          <w:szCs w:val="24"/>
        </w:rPr>
        <w:t>Architect device software to reach multiple regions in case one is not available -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in</w:t>
      </w:r>
      <w:r>
        <w:rPr>
          <w:b w:val="false"/>
          <w:bCs w:val="false"/>
        </w:rPr>
        <w:t xml:space="preserve">k: </w:t>
      </w:r>
      <w:hyperlink r:id="rId2" w:tgtFrame="_blank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D1C1D"/>
            <w:spacing w:val="0"/>
            <w:sz w:val="24"/>
            <w:szCs w:val="24"/>
            <w:u w:val="single"/>
            <w:effect w:val="none"/>
          </w:rPr>
          <w:t>AWS IoT Configurable Endpoints</w:t>
        </w:r>
      </w:hyperlink>
    </w:p>
    <w:p>
      <w:pPr>
        <w:pStyle w:val="TextBody"/>
        <w:widowControl/>
        <w:numPr>
          <w:ilvl w:val="0"/>
          <w:numId w:val="0"/>
        </w:numPr>
        <w:ind w:left="1140" w:hanging="0"/>
        <w:jc w:val="left"/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(it needs also route53 records to swift traffic in case of a case)</w:t>
      </w:r>
    </w:p>
    <w:p>
      <w:pPr>
        <w:pStyle w:val="TextBody"/>
        <w:widowControl/>
        <w:numPr>
          <w:ilvl w:val="0"/>
          <w:numId w:val="0"/>
        </w:numPr>
        <w:ind w:left="1140" w:hanging="0"/>
        <w:jc w:val="left"/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Enable device authentication certificates in multiple regions – 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1140" w:hanging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link:</w:t>
      </w:r>
      <w:r>
        <w:rPr>
          <w:rFonts w:ascii="arial" w:hAnsi="arial"/>
          <w:b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</w:t>
      </w:r>
      <w:hyperlink r:id="rId3" w:tgtFrame="_blank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1D1C1D"/>
            <w:spacing w:val="0"/>
            <w:sz w:val="24"/>
            <w:szCs w:val="24"/>
            <w:u w:val="single"/>
            <w:effect w:val="none"/>
          </w:rPr>
          <w:t>AWS IoT device registration</w:t>
        </w:r>
      </w:hyperlink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1140" w:hanging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D1C1D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Use device services in all the regions the device connects to –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link:</w:t>
      </w:r>
      <w:r>
        <w:rPr>
          <w:rFonts w:ascii="arial" w:hAnsi="arial"/>
          <w:b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</w:t>
      </w:r>
      <w:hyperlink r:id="rId4" w:tgtFrame="_blank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D1C1D"/>
            <w:spacing w:val="0"/>
            <w:sz w:val="24"/>
            <w:szCs w:val="24"/>
            <w:u w:val="single"/>
            <w:effect w:val="none"/>
          </w:rPr>
          <w:t>Rules for AWS IoT</w:t>
        </w:r>
      </w:hyperlink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1140" w:hanging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D1C1D"/>
          <w:spacing w:val="0"/>
          <w:sz w:val="24"/>
          <w:szCs w:val="24"/>
          <w:u w:val="single"/>
          <w:effect w:val="none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A general overview of the documentation can be found here: </w:t>
      </w:r>
      <w:hyperlink r:id="rId5" w:tgtFrame="_blank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D1C1D"/>
            <w:spacing w:val="0"/>
            <w:sz w:val="24"/>
            <w:szCs w:val="24"/>
            <w:u w:val="single"/>
            <w:effect w:val="none"/>
          </w:rPr>
          <w:t>https://docs.aws.amazon.com/wellarchitected/latest/iot-lens-checklist/best-practice-15-2.html</w:t>
        </w:r>
      </w:hyperlink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iot/latest/developerguide/iot-custom-endpoints-configurable.html" TargetMode="External"/><Relationship Id="rId3" Type="http://schemas.openxmlformats.org/officeDocument/2006/relationships/hyperlink" Target="http://aws.amazon.com/about-aws/whats-new/2020/04/simplify-iot-device-registration-and-easily-move-devices-between-aws-accounts-with-aws-iot-core-multi-account-registration/" TargetMode="External"/><Relationship Id="rId4" Type="http://schemas.openxmlformats.org/officeDocument/2006/relationships/hyperlink" Target="https://docs.aws.amazon.com/iot/latest/developerguide/iot-rules.html" TargetMode="External"/><Relationship Id="rId5" Type="http://schemas.openxmlformats.org/officeDocument/2006/relationships/hyperlink" Target="https://docs.aws.amazon.com/wellarchitected/latest/iot-lens-checklist/best-practice-15-2.htm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1</Pages>
  <Words>92</Words>
  <Characters>548</Characters>
  <CharactersWithSpaces>628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2023-05-18T16:20:11Z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