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service quotas and constrains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Being aware of service quotas and constraints in AWS is crucial for ensuring the smooth operation of your resources and applications. AWS imposes quotas, also known as limits, on various services to prevent abuse, ensure fair usage, and maintain overall system stability. Here's a comprehensive guide on how to be aware of and manage service quotas and constraints in AWS:</w:t>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Understand AWS Service Quotas</w:t>
      </w:r>
    </w:p>
    <w:p>
      <w:pPr>
        <w:pStyle w:val="TextBody"/>
        <w:numPr>
          <w:ilvl w:val="0"/>
          <w:numId w:val="2"/>
        </w:numPr>
        <w:rPr/>
      </w:pPr>
      <w:r>
        <w:rPr>
          <w:b w:val="false"/>
          <w:bCs w:val="false"/>
          <w:sz w:val="24"/>
          <w:szCs w:val="24"/>
        </w:rPr>
        <w:t>Quotas are limits set by AWS on the resources you can use within a specific service. These limits can be related to the number of instances, storage, API requests, etc.</w:t>
      </w:r>
    </w:p>
    <w:p>
      <w:pPr>
        <w:pStyle w:val="TextBody"/>
        <w:numPr>
          <w:ilvl w:val="0"/>
          <w:numId w:val="2"/>
        </w:numPr>
        <w:rPr>
          <w:b w:val="false"/>
          <w:b w:val="false"/>
          <w:bCs w:val="false"/>
          <w:sz w:val="24"/>
          <w:szCs w:val="24"/>
        </w:rPr>
      </w:pPr>
      <w:r>
        <w:rPr>
          <w:b w:val="false"/>
          <w:bCs w:val="false"/>
          <w:sz w:val="24"/>
          <w:szCs w:val="24"/>
        </w:rPr>
        <w:t>Each AWS service has its own set of quotas, and these can vary based on the region.</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Accessing Service Quotas Information</w:t>
      </w:r>
    </w:p>
    <w:p>
      <w:pPr>
        <w:pStyle w:val="TextBody"/>
        <w:numPr>
          <w:ilvl w:val="0"/>
          <w:numId w:val="3"/>
        </w:numPr>
        <w:rPr/>
      </w:pPr>
      <w:r>
        <w:rPr>
          <w:b w:val="false"/>
          <w:bCs w:val="false"/>
          <w:sz w:val="24"/>
          <w:szCs w:val="24"/>
        </w:rPr>
        <w:t xml:space="preserve">Go to the </w:t>
      </w:r>
      <w:hyperlink r:id="rId2">
        <w:r>
          <w:rPr>
            <w:rStyle w:val="InternetLink"/>
            <w:b w:val="false"/>
            <w:bCs w:val="false"/>
            <w:sz w:val="24"/>
            <w:szCs w:val="24"/>
          </w:rPr>
          <w:t>Service Quotas</w:t>
        </w:r>
      </w:hyperlink>
      <w:r>
        <w:rPr>
          <w:b w:val="false"/>
          <w:bCs w:val="false"/>
          <w:sz w:val="24"/>
          <w:szCs w:val="24"/>
        </w:rPr>
        <w:t xml:space="preserve"> page in the AWS Management Console to view and manage quotas.</w:t>
      </w:r>
    </w:p>
    <w:p>
      <w:pPr>
        <w:pStyle w:val="TextBody"/>
        <w:numPr>
          <w:ilvl w:val="0"/>
          <w:numId w:val="3"/>
        </w:numPr>
        <w:rPr>
          <w:b w:val="false"/>
          <w:b w:val="false"/>
          <w:bCs w:val="false"/>
          <w:sz w:val="24"/>
          <w:szCs w:val="24"/>
        </w:rPr>
      </w:pPr>
      <w:r>
        <w:rPr>
          <w:b w:val="false"/>
          <w:bCs w:val="false"/>
          <w:sz w:val="24"/>
          <w:szCs w:val="24"/>
        </w:rPr>
        <w:t>Browse through the different services to understand their respective quotas.</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Documentation Review</w:t>
      </w:r>
    </w:p>
    <w:p>
      <w:pPr>
        <w:pStyle w:val="TextBody"/>
        <w:numPr>
          <w:ilvl w:val="0"/>
          <w:numId w:val="4"/>
        </w:numPr>
        <w:rPr/>
      </w:pPr>
      <w:r>
        <w:rPr>
          <w:b w:val="false"/>
          <w:bCs w:val="false"/>
          <w:sz w:val="24"/>
          <w:szCs w:val="24"/>
        </w:rPr>
        <w:t>Refer to the official AWS documentation for each service to understand the specific quotas and constraints.</w:t>
      </w:r>
    </w:p>
    <w:p>
      <w:pPr>
        <w:pStyle w:val="TextBody"/>
        <w:numPr>
          <w:ilvl w:val="0"/>
          <w:numId w:val="4"/>
        </w:numPr>
        <w:rPr>
          <w:b w:val="false"/>
          <w:b w:val="false"/>
          <w:bCs w:val="false"/>
          <w:sz w:val="24"/>
          <w:szCs w:val="24"/>
        </w:rPr>
      </w:pPr>
      <w:r>
        <w:rPr>
          <w:b w:val="false"/>
          <w:bCs w:val="false"/>
          <w:sz w:val="24"/>
          <w:szCs w:val="24"/>
        </w:rPr>
        <w:t>The documentation provides detailed information on each quota, its default values, and how to request increases.</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Monitoring and Alerts</w:t>
      </w:r>
    </w:p>
    <w:p>
      <w:pPr>
        <w:pStyle w:val="TextBody"/>
        <w:numPr>
          <w:ilvl w:val="0"/>
          <w:numId w:val="5"/>
        </w:numPr>
        <w:rPr/>
      </w:pPr>
      <w:r>
        <w:rPr>
          <w:b w:val="false"/>
          <w:bCs w:val="false"/>
          <w:sz w:val="24"/>
          <w:szCs w:val="24"/>
        </w:rPr>
        <w:t>Set up CloudWatch alarms to monitor resource usage against quotas.</w:t>
      </w:r>
    </w:p>
    <w:p>
      <w:pPr>
        <w:pStyle w:val="TextBody"/>
        <w:numPr>
          <w:ilvl w:val="0"/>
          <w:numId w:val="5"/>
        </w:numPr>
        <w:rPr>
          <w:b w:val="false"/>
          <w:b w:val="false"/>
          <w:bCs w:val="false"/>
          <w:sz w:val="24"/>
          <w:szCs w:val="24"/>
        </w:rPr>
      </w:pPr>
      <w:r>
        <w:rPr>
          <w:b w:val="false"/>
          <w:bCs w:val="false"/>
          <w:sz w:val="24"/>
          <w:szCs w:val="24"/>
        </w:rPr>
        <w:t>Receive notifications when you approach or exceed certain thresholds.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Requesting Quota Increases</w:t>
      </w:r>
    </w:p>
    <w:p>
      <w:pPr>
        <w:pStyle w:val="TextBody"/>
        <w:numPr>
          <w:ilvl w:val="0"/>
          <w:numId w:val="6"/>
        </w:numPr>
        <w:rPr/>
      </w:pPr>
      <w:r>
        <w:rPr>
          <w:b w:val="false"/>
          <w:bCs w:val="false"/>
          <w:sz w:val="24"/>
          <w:szCs w:val="24"/>
        </w:rPr>
        <w:t>Service Quotas Console:</w:t>
      </w:r>
    </w:p>
    <w:p>
      <w:pPr>
        <w:pStyle w:val="TextBody"/>
        <w:numPr>
          <w:ilvl w:val="1"/>
          <w:numId w:val="6"/>
        </w:numPr>
        <w:rPr>
          <w:b w:val="false"/>
          <w:b w:val="false"/>
          <w:bCs w:val="false"/>
          <w:sz w:val="24"/>
          <w:szCs w:val="24"/>
        </w:rPr>
      </w:pPr>
      <w:r>
        <w:rPr>
          <w:b w:val="false"/>
          <w:bCs w:val="false"/>
          <w:sz w:val="24"/>
          <w:szCs w:val="24"/>
        </w:rPr>
        <w:t>Use the Service Quotas console to request increases for specific quotas.</w:t>
      </w:r>
    </w:p>
    <w:p>
      <w:pPr>
        <w:pStyle w:val="TextBody"/>
        <w:numPr>
          <w:ilvl w:val="1"/>
          <w:numId w:val="6"/>
        </w:numPr>
        <w:rPr>
          <w:b w:val="false"/>
          <w:b w:val="false"/>
          <w:bCs w:val="false"/>
          <w:sz w:val="24"/>
          <w:szCs w:val="24"/>
        </w:rPr>
      </w:pPr>
      <w:r>
        <w:rPr>
          <w:b w:val="false"/>
          <w:bCs w:val="false"/>
          <w:sz w:val="24"/>
          <w:szCs w:val="24"/>
        </w:rPr>
        <w:t>Provide justification for the increase, especially if it involves a significant change in resource usage.</w:t>
      </w:r>
    </w:p>
    <w:p>
      <w:pPr>
        <w:pStyle w:val="TextBody"/>
        <w:numPr>
          <w:ilvl w:val="0"/>
          <w:numId w:val="0"/>
        </w:numPr>
        <w:ind w:left="1407" w:hanging="0"/>
        <w:rPr>
          <w:b w:val="false"/>
          <w:b w:val="false"/>
          <w:bCs w:val="false"/>
          <w:sz w:val="24"/>
          <w:szCs w:val="24"/>
        </w:rPr>
      </w:pPr>
      <w:r>
        <w:rPr>
          <w:b w:val="false"/>
          <w:bCs w:val="false"/>
          <w:sz w:val="24"/>
          <w:szCs w:val="24"/>
        </w:rPr>
      </w:r>
    </w:p>
    <w:p>
      <w:pPr>
        <w:pStyle w:val="TextBody"/>
        <w:numPr>
          <w:ilvl w:val="0"/>
          <w:numId w:val="6"/>
        </w:numPr>
        <w:rPr>
          <w:b w:val="false"/>
          <w:b w:val="false"/>
          <w:bCs w:val="false"/>
          <w:sz w:val="24"/>
          <w:szCs w:val="24"/>
        </w:rPr>
      </w:pPr>
      <w:r>
        <w:rPr>
          <w:b w:val="false"/>
          <w:bCs w:val="false"/>
          <w:sz w:val="24"/>
          <w:szCs w:val="24"/>
        </w:rPr>
        <w:t>AWS Support:</w:t>
      </w:r>
    </w:p>
    <w:p>
      <w:pPr>
        <w:pStyle w:val="TextBody"/>
        <w:numPr>
          <w:ilvl w:val="1"/>
          <w:numId w:val="6"/>
        </w:numPr>
        <w:rPr>
          <w:b w:val="false"/>
          <w:b w:val="false"/>
          <w:bCs w:val="false"/>
          <w:sz w:val="24"/>
          <w:szCs w:val="24"/>
        </w:rPr>
      </w:pPr>
      <w:r>
        <w:rPr>
          <w:b w:val="false"/>
          <w:bCs w:val="false"/>
          <w:sz w:val="24"/>
          <w:szCs w:val="24"/>
        </w:rPr>
        <w:t>For some services, you may need to contact AWS Support to request quota increases.</w:t>
      </w:r>
    </w:p>
    <w:p>
      <w:pPr>
        <w:pStyle w:val="TextBody"/>
        <w:numPr>
          <w:ilvl w:val="1"/>
          <w:numId w:val="6"/>
        </w:numPr>
        <w:rPr>
          <w:b w:val="false"/>
          <w:b w:val="false"/>
          <w:bCs w:val="false"/>
          <w:sz w:val="24"/>
          <w:szCs w:val="24"/>
        </w:rPr>
      </w:pPr>
      <w:r>
        <w:rPr>
          <w:b w:val="false"/>
          <w:bCs w:val="false"/>
          <w:sz w:val="24"/>
          <w:szCs w:val="24"/>
        </w:rPr>
        <w:t>Be prepared to explain your use case and projected resource requirements.</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Global and Regional Quotas</w:t>
      </w:r>
    </w:p>
    <w:p>
      <w:pPr>
        <w:pStyle w:val="TextBody"/>
        <w:numPr>
          <w:ilvl w:val="0"/>
          <w:numId w:val="7"/>
        </w:numPr>
        <w:rPr/>
      </w:pPr>
      <w:r>
        <w:rPr>
          <w:b w:val="false"/>
          <w:bCs w:val="false"/>
          <w:sz w:val="24"/>
          <w:szCs w:val="24"/>
        </w:rPr>
        <w:t>Understand the difference between global and regional quotas.</w:t>
      </w:r>
    </w:p>
    <w:p>
      <w:pPr>
        <w:pStyle w:val="TextBody"/>
        <w:numPr>
          <w:ilvl w:val="0"/>
          <w:numId w:val="7"/>
        </w:numPr>
        <w:rPr>
          <w:b w:val="false"/>
          <w:b w:val="false"/>
          <w:bCs w:val="false"/>
          <w:sz w:val="24"/>
          <w:szCs w:val="24"/>
        </w:rPr>
      </w:pPr>
      <w:r>
        <w:rPr>
          <w:b w:val="false"/>
          <w:bCs w:val="false"/>
          <w:sz w:val="24"/>
          <w:szCs w:val="24"/>
        </w:rPr>
        <w:t>Some quotas apply globally across all regions, while others are region-specific.</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AWS Organizations and Quotas</w:t>
      </w:r>
    </w:p>
    <w:p>
      <w:pPr>
        <w:pStyle w:val="TextBody"/>
        <w:numPr>
          <w:ilvl w:val="0"/>
          <w:numId w:val="8"/>
        </w:numPr>
        <w:rPr/>
      </w:pPr>
      <w:r>
        <w:rPr>
          <w:b w:val="false"/>
          <w:bCs w:val="false"/>
          <w:sz w:val="24"/>
          <w:szCs w:val="24"/>
        </w:rPr>
        <w:t>If you're using AWS Organizations, be aware of how quotas work with consolidated billing.</w:t>
      </w:r>
    </w:p>
    <w:p>
      <w:pPr>
        <w:pStyle w:val="TextBody"/>
        <w:numPr>
          <w:ilvl w:val="0"/>
          <w:numId w:val="8"/>
        </w:numPr>
        <w:rPr>
          <w:b w:val="false"/>
          <w:b w:val="false"/>
          <w:bCs w:val="false"/>
          <w:sz w:val="24"/>
          <w:szCs w:val="24"/>
        </w:rPr>
      </w:pPr>
      <w:r>
        <w:rPr>
          <w:b w:val="false"/>
          <w:bCs w:val="false"/>
          <w:sz w:val="24"/>
          <w:szCs w:val="24"/>
        </w:rPr>
        <w:t>Quotas can be aggregated across all accounts in an organization.</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Automation for Quota Management</w:t>
      </w:r>
    </w:p>
    <w:p>
      <w:pPr>
        <w:pStyle w:val="TextBody"/>
        <w:numPr>
          <w:ilvl w:val="0"/>
          <w:numId w:val="9"/>
        </w:numPr>
        <w:rPr/>
      </w:pPr>
      <w:r>
        <w:rPr>
          <w:b w:val="false"/>
          <w:bCs w:val="false"/>
          <w:sz w:val="24"/>
          <w:szCs w:val="24"/>
        </w:rPr>
        <w:t>Utilize Infrastructure as Code tools like AWS CloudFormation or Terraform to manage resources within quota limits.</w:t>
      </w:r>
    </w:p>
    <w:p>
      <w:pPr>
        <w:pStyle w:val="TextBody"/>
        <w:numPr>
          <w:ilvl w:val="0"/>
          <w:numId w:val="9"/>
        </w:numPr>
        <w:rPr>
          <w:b w:val="false"/>
          <w:b w:val="false"/>
          <w:bCs w:val="false"/>
          <w:sz w:val="24"/>
          <w:szCs w:val="24"/>
        </w:rPr>
      </w:pPr>
      <w:r>
        <w:rPr>
          <w:b w:val="false"/>
          <w:bCs w:val="false"/>
          <w:sz w:val="24"/>
          <w:szCs w:val="24"/>
        </w:rPr>
        <w:t>Embed quota checks in your deployment scripts.</w:t>
      </w:r>
    </w:p>
    <w:p>
      <w:pPr>
        <w:pStyle w:val="TextBody"/>
        <w:numPr>
          <w:ilvl w:val="0"/>
          <w:numId w:val="0"/>
        </w:numPr>
        <w:ind w:left="1047"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Regularly Review Quotas</w:t>
      </w:r>
    </w:p>
    <w:p>
      <w:pPr>
        <w:pStyle w:val="TextBody"/>
        <w:numPr>
          <w:ilvl w:val="0"/>
          <w:numId w:val="10"/>
        </w:numPr>
        <w:rPr/>
      </w:pPr>
      <w:r>
        <w:rPr>
          <w:b w:val="false"/>
          <w:bCs w:val="false"/>
          <w:sz w:val="24"/>
          <w:szCs w:val="24"/>
        </w:rPr>
        <w:t>Regularly review your resource usage and adjust quotas accordingly.</w:t>
      </w:r>
    </w:p>
    <w:p>
      <w:pPr>
        <w:pStyle w:val="TextBody"/>
        <w:numPr>
          <w:ilvl w:val="0"/>
          <w:numId w:val="10"/>
        </w:numPr>
        <w:rPr>
          <w:b w:val="false"/>
          <w:b w:val="false"/>
          <w:bCs w:val="false"/>
          <w:sz w:val="24"/>
          <w:szCs w:val="24"/>
        </w:rPr>
      </w:pPr>
      <w:r>
        <w:rPr>
          <w:b w:val="false"/>
          <w:bCs w:val="false"/>
          <w:sz w:val="24"/>
          <w:szCs w:val="24"/>
        </w:rPr>
        <w:t>Be proactive in anticipating resource needs to avoid service disruptions.</w:t>
      </w:r>
    </w:p>
    <w:p>
      <w:pPr>
        <w:pStyle w:val="TextBody"/>
        <w:numPr>
          <w:ilvl w:val="0"/>
          <w:numId w:val="1"/>
        </w:numPr>
        <w:rPr>
          <w:b/>
          <w:b/>
          <w:bCs/>
          <w:sz w:val="24"/>
          <w:szCs w:val="24"/>
        </w:rPr>
      </w:pPr>
      <w:r>
        <w:rPr>
          <w:b/>
          <w:bCs/>
          <w:sz w:val="24"/>
          <w:szCs w:val="24"/>
        </w:rPr>
        <w:t xml:space="preserve"> </w:t>
      </w:r>
      <w:r>
        <w:rPr>
          <w:b/>
          <w:bCs/>
          <w:sz w:val="28"/>
          <w:szCs w:val="28"/>
        </w:rPr>
        <w:t>Stay Informed</w:t>
      </w:r>
    </w:p>
    <w:p>
      <w:pPr>
        <w:pStyle w:val="TextBody"/>
        <w:numPr>
          <w:ilvl w:val="0"/>
          <w:numId w:val="11"/>
        </w:numPr>
        <w:rPr/>
      </w:pPr>
      <w:r>
        <w:rPr>
          <w:b w:val="false"/>
          <w:bCs w:val="false"/>
          <w:sz w:val="24"/>
          <w:szCs w:val="24"/>
        </w:rPr>
        <w:t>Keep an eye on AWS announcements and release notes for updates on service quotas.</w:t>
      </w:r>
    </w:p>
    <w:p>
      <w:pPr>
        <w:pStyle w:val="TextBody"/>
        <w:numPr>
          <w:ilvl w:val="0"/>
          <w:numId w:val="11"/>
        </w:numPr>
        <w:rPr>
          <w:b w:val="false"/>
          <w:b w:val="false"/>
          <w:bCs w:val="false"/>
          <w:sz w:val="24"/>
          <w:szCs w:val="24"/>
        </w:rPr>
      </w:pPr>
      <w:r>
        <w:rPr>
          <w:b w:val="false"/>
          <w:bCs w:val="false"/>
          <w:sz w:val="24"/>
          <w:szCs w:val="24"/>
        </w:rPr>
        <w:t>AWS may periodically adjust quotas based on feedback and usage patterns.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guidelines, you can stay well-informed about service quotas and constraints in AWS, ensuring that your applications and workloads run smoothly while staying within the specified resource limits.</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47"/>
        </w:tabs>
        <w:ind w:left="1047" w:hanging="360"/>
      </w:pPr>
      <w:rPr>
        <w:sz w:val="28"/>
        <w:szCs w:val="28"/>
      </w:rPr>
    </w:lvl>
    <w:lvl w:ilvl="1">
      <w:start w:val="1"/>
      <w:numFmt w:val="decimal"/>
      <w:lvlText w:val="%2."/>
      <w:lvlJc w:val="left"/>
      <w:pPr>
        <w:tabs>
          <w:tab w:val="num" w:pos="1407"/>
        </w:tabs>
        <w:ind w:left="1407" w:hanging="360"/>
      </w:pPr>
      <w:rPr>
        <w:sz w:val="28"/>
        <w:szCs w:val="28"/>
      </w:rPr>
    </w:lvl>
    <w:lvl w:ilvl="2">
      <w:start w:val="1"/>
      <w:numFmt w:val="decimal"/>
      <w:lvlText w:val="%3."/>
      <w:lvlJc w:val="left"/>
      <w:pPr>
        <w:tabs>
          <w:tab w:val="num" w:pos="1767"/>
        </w:tabs>
        <w:ind w:left="1767" w:hanging="360"/>
      </w:pPr>
      <w:rPr>
        <w:sz w:val="28"/>
        <w:szCs w:val="28"/>
      </w:rPr>
    </w:lvl>
    <w:lvl w:ilvl="3">
      <w:start w:val="1"/>
      <w:numFmt w:val="decimal"/>
      <w:lvlText w:val="%4."/>
      <w:lvlJc w:val="left"/>
      <w:pPr>
        <w:tabs>
          <w:tab w:val="num" w:pos="2127"/>
        </w:tabs>
        <w:ind w:left="2127" w:hanging="360"/>
      </w:pPr>
      <w:rPr>
        <w:sz w:val="28"/>
        <w:szCs w:val="28"/>
      </w:rPr>
    </w:lvl>
    <w:lvl w:ilvl="4">
      <w:start w:val="1"/>
      <w:numFmt w:val="decimal"/>
      <w:lvlText w:val="%5."/>
      <w:lvlJc w:val="left"/>
      <w:pPr>
        <w:tabs>
          <w:tab w:val="num" w:pos="2487"/>
        </w:tabs>
        <w:ind w:left="2487" w:hanging="360"/>
      </w:pPr>
      <w:rPr>
        <w:sz w:val="28"/>
        <w:szCs w:val="28"/>
      </w:rPr>
    </w:lvl>
    <w:lvl w:ilvl="5">
      <w:start w:val="1"/>
      <w:numFmt w:val="decimal"/>
      <w:lvlText w:val="%6."/>
      <w:lvlJc w:val="left"/>
      <w:pPr>
        <w:tabs>
          <w:tab w:val="num" w:pos="2847"/>
        </w:tabs>
        <w:ind w:left="2847" w:hanging="360"/>
      </w:pPr>
      <w:rPr>
        <w:sz w:val="28"/>
        <w:szCs w:val="28"/>
      </w:rPr>
    </w:lvl>
    <w:lvl w:ilvl="6">
      <w:start w:val="1"/>
      <w:numFmt w:val="decimal"/>
      <w:lvlText w:val="%7."/>
      <w:lvlJc w:val="left"/>
      <w:pPr>
        <w:tabs>
          <w:tab w:val="num" w:pos="3207"/>
        </w:tabs>
        <w:ind w:left="3207" w:hanging="360"/>
      </w:pPr>
      <w:rPr>
        <w:sz w:val="28"/>
        <w:szCs w:val="28"/>
      </w:rPr>
    </w:lvl>
    <w:lvl w:ilvl="7">
      <w:start w:val="1"/>
      <w:numFmt w:val="decimal"/>
      <w:lvlText w:val="%8."/>
      <w:lvlJc w:val="left"/>
      <w:pPr>
        <w:tabs>
          <w:tab w:val="num" w:pos="3567"/>
        </w:tabs>
        <w:ind w:left="3567" w:hanging="360"/>
      </w:pPr>
      <w:rPr>
        <w:sz w:val="28"/>
        <w:szCs w:val="28"/>
      </w:rPr>
    </w:lvl>
    <w:lvl w:ilvl="8">
      <w:start w:val="1"/>
      <w:numFmt w:val="decimal"/>
      <w:lvlText w:val="%9."/>
      <w:lvlJc w:val="left"/>
      <w:pPr>
        <w:tabs>
          <w:tab w:val="num" w:pos="3927"/>
        </w:tabs>
        <w:ind w:left="3927" w:hanging="360"/>
      </w:pPr>
      <w:rPr>
        <w:sz w:val="28"/>
        <w:szCs w:val="28"/>
      </w:rPr>
    </w:lvl>
  </w:abstractNum>
  <w:abstractNum w:abstractNumId="2">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5">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6">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7">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8">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9">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10">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11">
    <w:lvl w:ilvl="0">
      <w:start w:val="1"/>
      <w:numFmt w:val="bullet"/>
      <w:lvlText w:val=""/>
      <w:lvlJc w:val="left"/>
      <w:pPr>
        <w:tabs>
          <w:tab w:val="num" w:pos="1407"/>
        </w:tabs>
        <w:ind w:left="1407" w:hanging="360"/>
      </w:pPr>
      <w:rPr>
        <w:rFonts w:ascii="Symbol" w:hAnsi="Symbol" w:cs="Symbol" w:hint="default"/>
      </w:rPr>
    </w:lvl>
    <w:lvl w:ilvl="1">
      <w:start w:val="1"/>
      <w:numFmt w:val="bullet"/>
      <w:lvlText w:val="◦"/>
      <w:lvlJc w:val="left"/>
      <w:pPr>
        <w:tabs>
          <w:tab w:val="num" w:pos="1767"/>
        </w:tabs>
        <w:ind w:left="1767" w:hanging="360"/>
      </w:pPr>
      <w:rPr>
        <w:rFonts w:ascii="OpenSymbol" w:hAnsi="OpenSymbol" w:cs="OpenSymbol" w:hint="default"/>
      </w:rPr>
    </w:lvl>
    <w:lvl w:ilvl="2">
      <w:start w:val="1"/>
      <w:numFmt w:val="bullet"/>
      <w:lvlText w:val="▪"/>
      <w:lvlJc w:val="left"/>
      <w:pPr>
        <w:tabs>
          <w:tab w:val="num" w:pos="2127"/>
        </w:tabs>
        <w:ind w:left="2127" w:hanging="360"/>
      </w:pPr>
      <w:rPr>
        <w:rFonts w:ascii="OpenSymbol" w:hAnsi="OpenSymbol" w:cs="OpenSymbol" w:hint="default"/>
      </w:rPr>
    </w:lvl>
    <w:lvl w:ilvl="3">
      <w:start w:val="1"/>
      <w:numFmt w:val="bullet"/>
      <w:lvlText w:val=""/>
      <w:lvlJc w:val="left"/>
      <w:pPr>
        <w:tabs>
          <w:tab w:val="num" w:pos="2487"/>
        </w:tabs>
        <w:ind w:left="2487" w:hanging="360"/>
      </w:pPr>
      <w:rPr>
        <w:rFonts w:ascii="Symbol" w:hAnsi="Symbol" w:cs="Symbol" w:hint="default"/>
      </w:rPr>
    </w:lvl>
    <w:lvl w:ilvl="4">
      <w:start w:val="1"/>
      <w:numFmt w:val="bullet"/>
      <w:lvlText w:val="◦"/>
      <w:lvlJc w:val="left"/>
      <w:pPr>
        <w:tabs>
          <w:tab w:val="num" w:pos="2847"/>
        </w:tabs>
        <w:ind w:left="2847" w:hanging="360"/>
      </w:pPr>
      <w:rPr>
        <w:rFonts w:ascii="OpenSymbol" w:hAnsi="OpenSymbol" w:cs="OpenSymbol" w:hint="default"/>
      </w:rPr>
    </w:lvl>
    <w:lvl w:ilvl="5">
      <w:start w:val="1"/>
      <w:numFmt w:val="bullet"/>
      <w:lvlText w:val="▪"/>
      <w:lvlJc w:val="left"/>
      <w:pPr>
        <w:tabs>
          <w:tab w:val="num" w:pos="3207"/>
        </w:tabs>
        <w:ind w:left="3207" w:hanging="360"/>
      </w:pPr>
      <w:rPr>
        <w:rFonts w:ascii="OpenSymbol" w:hAnsi="OpenSymbol" w:cs="OpenSymbol" w:hint="default"/>
      </w:rPr>
    </w:lvl>
    <w:lvl w:ilvl="6">
      <w:start w:val="1"/>
      <w:numFmt w:val="bullet"/>
      <w:lvlText w:val=""/>
      <w:lvlJc w:val="left"/>
      <w:pPr>
        <w:tabs>
          <w:tab w:val="num" w:pos="3567"/>
        </w:tabs>
        <w:ind w:left="3567" w:hanging="360"/>
      </w:pPr>
      <w:rPr>
        <w:rFonts w:ascii="Symbol" w:hAnsi="Symbol" w:cs="Symbol" w:hint="default"/>
      </w:rPr>
    </w:lvl>
    <w:lvl w:ilvl="7">
      <w:start w:val="1"/>
      <w:numFmt w:val="bullet"/>
      <w:lvlText w:val="◦"/>
      <w:lvlJc w:val="left"/>
      <w:pPr>
        <w:tabs>
          <w:tab w:val="num" w:pos="3927"/>
        </w:tabs>
        <w:ind w:left="3927" w:hanging="360"/>
      </w:pPr>
      <w:rPr>
        <w:rFonts w:ascii="OpenSymbol" w:hAnsi="OpenSymbol" w:cs="OpenSymbol" w:hint="default"/>
      </w:rPr>
    </w:lvl>
    <w:lvl w:ilvl="8">
      <w:start w:val="1"/>
      <w:numFmt w:val="bullet"/>
      <w:lvlText w:val="▪"/>
      <w:lvlJc w:val="left"/>
      <w:pPr>
        <w:tabs>
          <w:tab w:val="num" w:pos="4287"/>
        </w:tabs>
        <w:ind w:left="4287"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servicequota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3</Pages>
  <Words>453</Words>
  <Characters>2417</Characters>
  <CharactersWithSpaces>2799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2024-02-15T12:37:26Z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