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ACC19A" w14:textId="77777777" w:rsidR="00BD47EF" w:rsidRPr="00A86064" w:rsidRDefault="00000000">
      <w:pPr>
        <w:spacing w:before="1600"/>
        <w:jc w:val="center"/>
        <w:rPr>
          <w:lang w:val="en-US"/>
        </w:rPr>
      </w:pPr>
      <w:r>
        <w:rPr>
          <w:b/>
          <w:bCs/>
          <w:color w:val="808080"/>
          <w:lang w:val="en-US"/>
        </w:rPr>
        <w:t>PORTFOLIO  DevOps / Cloud</w:t>
      </w:r>
    </w:p>
    <w:p w14:paraId="718BF188" w14:textId="77777777" w:rsidR="00BD47EF" w:rsidRPr="00A86064" w:rsidRDefault="00000000">
      <w:pPr>
        <w:spacing w:before="200"/>
        <w:jc w:val="center"/>
        <w:rPr>
          <w:lang w:val="en-US"/>
        </w:rPr>
      </w:pPr>
      <w:r>
        <w:rPr>
          <w:b/>
          <w:bCs/>
          <w:color w:val="1F4E79"/>
          <w:sz w:val="56"/>
          <w:szCs w:val="56"/>
          <w:lang w:val="en-US"/>
        </w:rPr>
        <w:t>Factory Telemetry &amp; OEE Monitor</w:t>
      </w:r>
    </w:p>
    <w:p w14:paraId="20BDDE47" w14:textId="77777777" w:rsidR="00BD47EF" w:rsidRDefault="00000000">
      <w:pPr>
        <w:pBdr>
          <w:bottom w:val="single" w:sz="6" w:space="8" w:color="1F4E79"/>
        </w:pBdr>
        <w:spacing w:before="120"/>
        <w:jc w:val="center"/>
      </w:pPr>
      <w:r>
        <w:rPr>
          <w:color w:val="404040"/>
          <w:sz w:val="28"/>
          <w:szCs w:val="28"/>
        </w:rPr>
        <w:t>Demonstracja działania aplikacji w chmurze Microsoft Azure</w:t>
      </w:r>
    </w:p>
    <w:p w14:paraId="2F05049D" w14:textId="77777777" w:rsidR="00BD47EF" w:rsidRDefault="00BD47EF">
      <w:pPr>
        <w:spacing w:before="600"/>
      </w:pPr>
    </w:p>
    <w:p w14:paraId="6E8EC510" w14:textId="77777777" w:rsidR="00BD47EF" w:rsidRDefault="00000000">
      <w:pPr>
        <w:spacing w:after="60"/>
      </w:pPr>
      <w:r>
        <w:rPr>
          <w:b/>
          <w:bCs/>
        </w:rPr>
        <w:t xml:space="preserve">Autor:  </w:t>
      </w:r>
      <w:r>
        <w:t>Dawid B.</w:t>
      </w:r>
    </w:p>
    <w:p w14:paraId="762AE255" w14:textId="77777777" w:rsidR="00BD47EF" w:rsidRDefault="00000000">
      <w:pPr>
        <w:spacing w:after="60"/>
      </w:pPr>
      <w:r>
        <w:rPr>
          <w:b/>
          <w:bCs/>
        </w:rPr>
        <w:t xml:space="preserve">Data:  </w:t>
      </w:r>
      <w:r>
        <w:t>1 czerwca 2026</w:t>
      </w:r>
    </w:p>
    <w:p w14:paraId="6639C9E4" w14:textId="77777777" w:rsidR="00BD47EF" w:rsidRPr="00A86064" w:rsidRDefault="00000000">
      <w:pPr>
        <w:spacing w:after="60"/>
        <w:rPr>
          <w:lang w:val="en-US"/>
        </w:rPr>
      </w:pPr>
      <w:r>
        <w:rPr>
          <w:b/>
          <w:bCs/>
          <w:lang w:val="en-US"/>
        </w:rPr>
        <w:t xml:space="preserve">Środowisko:  </w:t>
      </w:r>
      <w:r>
        <w:rPr>
          <w:lang w:val="en-US"/>
        </w:rPr>
        <w:t>Microsoft Azure — App Service (Linux/.NET 9), Azure SQL, IoT Hub</w:t>
      </w:r>
    </w:p>
    <w:p w14:paraId="52032923" w14:textId="77777777" w:rsidR="00BD47EF" w:rsidRDefault="00000000">
      <w:pPr>
        <w:spacing w:after="60"/>
      </w:pPr>
      <w:r>
        <w:rPr>
          <w:b/>
          <w:bCs/>
        </w:rPr>
        <w:t xml:space="preserve">Adres aplikacji:  </w:t>
      </w:r>
      <w:hyperlink r:id="rId7" w:history="1">
        <w:r>
          <w:rPr>
            <w:rStyle w:val="Hipercze"/>
          </w:rPr>
          <w:t>https://app-factorytel-dev-hnzv6.azurewebsites.net</w:t>
        </w:r>
      </w:hyperlink>
    </w:p>
    <w:p w14:paraId="5E4E0079" w14:textId="77777777" w:rsidR="00BD47EF" w:rsidRDefault="00000000">
      <w:pPr>
        <w:spacing w:after="60"/>
      </w:pPr>
      <w:r>
        <w:rPr>
          <w:b/>
          <w:bCs/>
        </w:rPr>
        <w:t xml:space="preserve">Repozytorium:  </w:t>
      </w:r>
      <w:hyperlink r:id="rId8" w:history="1">
        <w:r>
          <w:rPr>
            <w:rStyle w:val="Hipercze"/>
          </w:rPr>
          <w:t>https://github.com/dawidbis/IoT_Production_Monitor</w:t>
        </w:r>
      </w:hyperlink>
    </w:p>
    <w:p w14:paraId="71751D36" w14:textId="77777777" w:rsidR="00BD47EF" w:rsidRDefault="00000000">
      <w:pPr>
        <w:spacing w:before="500"/>
      </w:pPr>
      <w:r>
        <w:rPr>
          <w:i/>
          <w:iCs/>
          <w:color w:val="808080"/>
          <w:sz w:val="18"/>
          <w:szCs w:val="18"/>
        </w:rPr>
        <w:t>Dokument roboczy: w miejscach oznaczonych ramką wklej zrzuty ekranu (Wstaw → Obrazy, lub przeciągnij plik na ramkę).</w:t>
      </w:r>
    </w:p>
    <w:p w14:paraId="34EE991A" w14:textId="77777777" w:rsidR="00BD47EF" w:rsidRDefault="00000000">
      <w:r>
        <w:br w:type="page"/>
      </w:r>
    </w:p>
    <w:p w14:paraId="40745748" w14:textId="77777777" w:rsidR="00BD47EF" w:rsidRDefault="00000000">
      <w:pPr>
        <w:pStyle w:val="Nagwek1"/>
      </w:pPr>
      <w:r>
        <w:lastRenderedPageBreak/>
        <w:t>1. O projekcie</w:t>
      </w:r>
    </w:p>
    <w:p w14:paraId="4A454105" w14:textId="77777777" w:rsidR="00BD47EF" w:rsidRDefault="00000000">
      <w:pPr>
        <w:spacing w:after="120"/>
      </w:pPr>
      <w:r>
        <w:t>Factory Telemetry &amp; OEE Monitor to lekki system backendowy (API), który symuluje odbieranie danych z sensorów na linii produkcyjnej — np. zrobotyzowanego gniazda spawalniczego. Aplikacja przyjmuje sygnały JSON o statusie maszyny (stan, temperatura, liczba wyprodukowanych i wadliwych sztuk), zapisuje je w bazie danych i udostępnia endpoint obliczający wskaźnik OEE.</w:t>
      </w:r>
    </w:p>
    <w:p w14:paraId="5DDC2AD1" w14:textId="77777777" w:rsidR="00BD47EF" w:rsidRDefault="00000000">
      <w:pPr>
        <w:spacing w:after="120"/>
      </w:pPr>
      <w:r>
        <w:t>OEE (Overall Equipment Effectiveness / Całkowita Efektywność Wyposażenia) to kluczowy wskaźnik w każdym zakładzie produkcyjnym, liczony jako:</w:t>
      </w:r>
    </w:p>
    <w:p w14:paraId="62637123" w14:textId="77777777" w:rsidR="00BD47EF" w:rsidRDefault="00000000">
      <w:pPr>
        <w:spacing w:after="160"/>
        <w:jc w:val="center"/>
      </w:pPr>
      <w:r>
        <w:rPr>
          <w:b/>
          <w:bCs/>
          <w:color w:val="1F4E79"/>
          <w:sz w:val="26"/>
          <w:szCs w:val="26"/>
        </w:rPr>
        <w:t>OEE  =  Dostępność  ×  Wydajność  ×  Jakość</w:t>
      </w:r>
    </w:p>
    <w:p w14:paraId="1BF8240F" w14:textId="77777777" w:rsidR="00BD47EF" w:rsidRDefault="00000000">
      <w:pPr>
        <w:spacing w:after="120"/>
      </w:pPr>
      <w:r>
        <w:t>Projekt powstał jako portfolio DevOps/Cloud: sama aplikacja jest celowo niewielka, a nacisk położono na automatyzację wokół niej — Infrastructure as Code, CI/CD, skrypty, testy i wdrożenie do chmury Microsoft.</w:t>
      </w:r>
    </w:p>
    <w:p w14:paraId="198C0CD9" w14:textId="77777777" w:rsidR="00BD47EF" w:rsidRDefault="00000000">
      <w:pPr>
        <w:pStyle w:val="Nagwek1"/>
      </w:pPr>
      <w:r>
        <w:t>2. Architektura rozwiązania</w:t>
      </w:r>
    </w:p>
    <w:p w14:paraId="2CD5998E" w14:textId="77777777" w:rsidR="00BD47EF" w:rsidRDefault="00000000">
      <w:pPr>
        <w:spacing w:after="120"/>
      </w:pPr>
      <w:r>
        <w:t>Przepływ danych od hali produkcyjnej do wskaźnika OEE:</w:t>
      </w:r>
    </w:p>
    <w:p w14:paraId="1970A352" w14:textId="77777777" w:rsidR="00BD47EF" w:rsidRDefault="00000000">
      <w:pPr>
        <w:pStyle w:val="Akapitzlist"/>
        <w:numPr>
          <w:ilvl w:val="0"/>
          <w:numId w:val="2"/>
        </w:numPr>
        <w:spacing w:after="60"/>
      </w:pPr>
      <w:r>
        <w:t>Maszyny / symulator (PowerShell) wysyłają telemetrię HTTP (JSON) do API.</w:t>
      </w:r>
    </w:p>
    <w:p w14:paraId="11364640" w14:textId="77777777" w:rsidR="00BD47EF" w:rsidRDefault="00000000">
      <w:pPr>
        <w:pStyle w:val="Akapitzlist"/>
        <w:numPr>
          <w:ilvl w:val="0"/>
          <w:numId w:val="2"/>
        </w:numPr>
        <w:spacing w:after="60"/>
      </w:pPr>
      <w:r>
        <w:t>API (.NET 9 na Azure App Service) waliduje i zapisuje odczyty do Azure SQL (przez Entity Framework Core).</w:t>
      </w:r>
    </w:p>
    <w:p w14:paraId="6A31C756" w14:textId="77777777" w:rsidR="00BD47EF" w:rsidRDefault="00000000">
      <w:pPr>
        <w:pStyle w:val="Akapitzlist"/>
        <w:numPr>
          <w:ilvl w:val="0"/>
          <w:numId w:val="2"/>
        </w:numPr>
        <w:spacing w:after="60"/>
      </w:pPr>
      <w:r>
        <w:t>Endpoint OEE pobiera odczyty z okna czasowego i liczy Dostępność × Wydajność × Jakość.</w:t>
      </w:r>
    </w:p>
    <w:p w14:paraId="12B91007" w14:textId="77777777" w:rsidR="00BD47EF" w:rsidRDefault="00000000">
      <w:pPr>
        <w:pStyle w:val="Akapitzlist"/>
        <w:numPr>
          <w:ilvl w:val="0"/>
          <w:numId w:val="2"/>
        </w:numPr>
        <w:spacing w:after="60"/>
      </w:pPr>
      <w:r>
        <w:t>Azure IoT Hub pełni rolę bramy chmurowej; Application Insights zbiera telemetrię działania.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BD47EF" w14:paraId="45030181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dashed" w:sz="1" w:space="0" w:color="AAAAAA"/>
              <w:left w:val="dashed" w:sz="1" w:space="0" w:color="AAAAAA"/>
              <w:bottom w:val="dashed" w:sz="1" w:space="0" w:color="AAAAAA"/>
              <w:right w:val="dashed" w:sz="1" w:space="0" w:color="AAAAAA"/>
            </w:tcBorders>
            <w:shd w:val="clear" w:color="auto" w:fill="FAFAFA"/>
            <w:tcMar>
              <w:top w:w="360" w:type="dxa"/>
              <w:left w:w="200" w:type="dxa"/>
              <w:bottom w:w="360" w:type="dxa"/>
              <w:right w:w="200" w:type="dxa"/>
            </w:tcMar>
            <w:vAlign w:val="center"/>
          </w:tcPr>
          <w:p w14:paraId="60A89197" w14:textId="77777777" w:rsidR="00BD47EF" w:rsidRDefault="00000000">
            <w:pPr>
              <w:spacing w:after="40"/>
              <w:jc w:val="center"/>
            </w:pPr>
            <w:r>
              <w:rPr>
                <w:b/>
                <w:bCs/>
                <w:color w:val="808080"/>
              </w:rPr>
              <w:t>[ MIEJSCE NA ZRZUT EKRANU ]</w:t>
            </w:r>
          </w:p>
          <w:p w14:paraId="3DE63EC6" w14:textId="77777777" w:rsidR="00BD47EF" w:rsidRDefault="00000000">
            <w:pPr>
              <w:jc w:val="center"/>
            </w:pPr>
            <w:r>
              <w:rPr>
                <w:i/>
                <w:iCs/>
                <w:color w:val="808080"/>
                <w:sz w:val="18"/>
                <w:szCs w:val="18"/>
              </w:rPr>
              <w:t>Rys. 1 — Diagram architektury (z pliku docs/architecture.md)</w:t>
            </w:r>
          </w:p>
        </w:tc>
      </w:tr>
    </w:tbl>
    <w:p w14:paraId="1F5D87F5" w14:textId="77777777" w:rsidR="00BD47EF" w:rsidRDefault="00000000">
      <w:pPr>
        <w:spacing w:before="60" w:after="200"/>
        <w:jc w:val="center"/>
      </w:pPr>
      <w:r>
        <w:rPr>
          <w:i/>
          <w:iCs/>
          <w:color w:val="808080"/>
          <w:sz w:val="18"/>
          <w:szCs w:val="18"/>
        </w:rPr>
        <w:t>Rys. 1 — Architektura rozwiązania</w:t>
      </w:r>
    </w:p>
    <w:p w14:paraId="62359087" w14:textId="77777777" w:rsidR="00BD47EF" w:rsidRDefault="00000000">
      <w:pPr>
        <w:pStyle w:val="Nagwek1"/>
      </w:pPr>
      <w:r>
        <w:t>3. Stos technologiczny (5 warstw)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BD47EF" w14:paraId="43FEB8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672AB" w14:textId="77777777" w:rsidR="00BD47EF" w:rsidRDefault="00000000">
            <w:r>
              <w:rPr>
                <w:b/>
                <w:bCs/>
                <w:color w:val="FFFFFF"/>
              </w:rPr>
              <w:t>Warstwa</w:t>
            </w:r>
          </w:p>
        </w:tc>
        <w:tc>
          <w:tcPr>
            <w:tcW w:w="6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9EBF9" w14:textId="77777777" w:rsidR="00BD47EF" w:rsidRDefault="00000000">
            <w:r>
              <w:rPr>
                <w:b/>
                <w:bCs/>
                <w:color w:val="FFFFFF"/>
              </w:rPr>
              <w:t>Technologie</w:t>
            </w:r>
          </w:p>
        </w:tc>
      </w:tr>
      <w:tr w:rsidR="00BD47EF" w:rsidRPr="00A86064" w14:paraId="3DEFD2E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D6967" w14:textId="77777777" w:rsidR="00BD47EF" w:rsidRDefault="00000000">
            <w:r>
              <w:t>1. Infrastruktura (IaC)</w:t>
            </w:r>
          </w:p>
        </w:tc>
        <w:tc>
          <w:tcPr>
            <w:tcW w:w="6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144F9" w14:textId="77777777" w:rsidR="00BD47EF" w:rsidRPr="00A86064" w:rsidRDefault="00000000">
            <w:pPr>
              <w:rPr>
                <w:lang w:val="en-US"/>
              </w:rPr>
            </w:pPr>
            <w:r>
              <w:rPr>
                <w:lang w:val="en-US"/>
              </w:rPr>
              <w:t>Terraform (HCL) + AzureRM: App Service, Azure SQL, IoT Hub, ACR, App Insights</w:t>
            </w:r>
          </w:p>
        </w:tc>
      </w:tr>
      <w:tr w:rsidR="00BD47EF" w:rsidRPr="00A86064" w14:paraId="44DC544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AEEF1" w14:textId="77777777" w:rsidR="00BD47EF" w:rsidRDefault="00000000">
            <w:r>
              <w:t>2. CI/CD</w:t>
            </w:r>
          </w:p>
        </w:tc>
        <w:tc>
          <w:tcPr>
            <w:tcW w:w="6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D532A" w14:textId="77777777" w:rsidR="00BD47EF" w:rsidRPr="00A86064" w:rsidRDefault="00000000">
            <w:pPr>
              <w:rPr>
                <w:lang w:val="en-US"/>
              </w:rPr>
            </w:pPr>
            <w:r>
              <w:rPr>
                <w:lang w:val="en-US"/>
              </w:rPr>
              <w:t>GitHub Actions (build + testy + lint), Azure Pipelines (YAML)</w:t>
            </w:r>
          </w:p>
        </w:tc>
      </w:tr>
      <w:tr w:rsidR="00BD47EF" w:rsidRPr="00A86064" w14:paraId="1607663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97EA8" w14:textId="77777777" w:rsidR="00BD47EF" w:rsidRDefault="00000000">
            <w:r>
              <w:t>3. Skrypty</w:t>
            </w:r>
          </w:p>
        </w:tc>
        <w:tc>
          <w:tcPr>
            <w:tcW w:w="6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CD796" w14:textId="77777777" w:rsidR="00BD47EF" w:rsidRPr="00A86064" w:rsidRDefault="00000000">
            <w:pPr>
              <w:rPr>
                <w:lang w:val="en-US"/>
              </w:rPr>
            </w:pPr>
            <w:r>
              <w:rPr>
                <w:lang w:val="en-US"/>
              </w:rPr>
              <w:t>PowerShell 7, Pester (testy), PSScriptAnalyzer (analiza statyczna)</w:t>
            </w:r>
          </w:p>
        </w:tc>
      </w:tr>
      <w:tr w:rsidR="00BD47EF" w:rsidRPr="00A86064" w14:paraId="3FFD978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83154" w14:textId="77777777" w:rsidR="00BD47EF" w:rsidRDefault="00000000">
            <w:r>
              <w:t>4. Aplikacja</w:t>
            </w:r>
          </w:p>
        </w:tc>
        <w:tc>
          <w:tcPr>
            <w:tcW w:w="6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940F3" w14:textId="77777777" w:rsidR="00BD47EF" w:rsidRPr="00A86064" w:rsidRDefault="00000000">
            <w:pPr>
              <w:rPr>
                <w:lang w:val="en-US"/>
              </w:rPr>
            </w:pPr>
            <w:r>
              <w:rPr>
                <w:lang w:val="en-US"/>
              </w:rPr>
              <w:t>C# / .NET 9 Minimal API, EF Core (migracje), Serilog, Swagger / OpenAPI</w:t>
            </w:r>
          </w:p>
        </w:tc>
      </w:tr>
      <w:tr w:rsidR="00BD47EF" w:rsidRPr="00A86064" w14:paraId="484764B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AC312" w14:textId="77777777" w:rsidR="00BD47EF" w:rsidRDefault="00000000">
            <w:r>
              <w:t>5. Zarządzanie i dokumentacja</w:t>
            </w:r>
          </w:p>
        </w:tc>
        <w:tc>
          <w:tcPr>
            <w:tcW w:w="60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A901B" w14:textId="77777777" w:rsidR="00BD47EF" w:rsidRPr="00A86064" w:rsidRDefault="00000000">
            <w:pPr>
              <w:rPr>
                <w:lang w:val="en-US"/>
              </w:rPr>
            </w:pPr>
            <w:r>
              <w:rPr>
                <w:lang w:val="en-US"/>
              </w:rPr>
              <w:t>Backlog produktu (User Stories), architektura, runbook</w:t>
            </w:r>
          </w:p>
        </w:tc>
      </w:tr>
    </w:tbl>
    <w:p w14:paraId="75EF21D5" w14:textId="77777777" w:rsidR="00BD47EF" w:rsidRPr="00A86064" w:rsidRDefault="00000000">
      <w:pPr>
        <w:rPr>
          <w:lang w:val="en-US"/>
        </w:rPr>
      </w:pPr>
      <w:r>
        <w:rPr>
          <w:lang w:val="en-US"/>
        </w:rPr>
        <w:br w:type="page"/>
      </w:r>
    </w:p>
    <w:p w14:paraId="71F1DD6A" w14:textId="77777777" w:rsidR="00BD47EF" w:rsidRDefault="00000000">
      <w:pPr>
        <w:pStyle w:val="Nagwek1"/>
      </w:pPr>
      <w:r>
        <w:lastRenderedPageBreak/>
        <w:t>4. Demonstracja działania (na żywo, Azure)</w:t>
      </w:r>
    </w:p>
    <w:p w14:paraId="66C82138" w14:textId="77777777" w:rsidR="00BD47EF" w:rsidRDefault="00000000">
      <w:pPr>
        <w:spacing w:after="120"/>
      </w:pPr>
      <w:r>
        <w:t>Wszystkie poniższe operacje wykonano na działającej instancji w chmurze Azure, pod adresem app-factorytel-dev-hnzv6.azurewebsites.net, z użyciem interaktywnej dokumentacji Swagger / OpenAPI.</w:t>
      </w:r>
    </w:p>
    <w:p w14:paraId="26AF48F9" w14:textId="77777777" w:rsidR="00BD47EF" w:rsidRDefault="00000000">
      <w:pPr>
        <w:pStyle w:val="Nagwek2"/>
      </w:pPr>
      <w:r>
        <w:t>4.1. Interaktywna dokumentacja API (Swagger / OpenAPI)</w:t>
      </w:r>
    </w:p>
    <w:p w14:paraId="2D8F33F4" w14:textId="77777777" w:rsidR="00BD47EF" w:rsidRDefault="00000000">
      <w:pPr>
        <w:spacing w:after="120"/>
      </w:pPr>
      <w:r>
        <w:t>API automatycznie generuje dokumentację zgodną z OpenAPI 3.0, z endpointami pogrupowanymi w sekcje: Diagnostics, Telemetry oraz OEE.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BD47EF" w14:paraId="5F2E54F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dashed" w:sz="1" w:space="0" w:color="AAAAAA"/>
              <w:left w:val="dashed" w:sz="1" w:space="0" w:color="AAAAAA"/>
              <w:bottom w:val="dashed" w:sz="1" w:space="0" w:color="AAAAAA"/>
              <w:right w:val="dashed" w:sz="1" w:space="0" w:color="AAAAAA"/>
            </w:tcBorders>
            <w:shd w:val="clear" w:color="auto" w:fill="FAFAFA"/>
            <w:tcMar>
              <w:top w:w="360" w:type="dxa"/>
              <w:left w:w="200" w:type="dxa"/>
              <w:bottom w:w="360" w:type="dxa"/>
              <w:right w:w="200" w:type="dxa"/>
            </w:tcMar>
            <w:vAlign w:val="center"/>
          </w:tcPr>
          <w:p w14:paraId="69C8D3A8" w14:textId="77777777" w:rsidR="00BD47EF" w:rsidRDefault="00000000">
            <w:pPr>
              <w:spacing w:after="40"/>
              <w:jc w:val="center"/>
            </w:pPr>
            <w:r>
              <w:drawing>
                <wp:inline distT="0" distB="0" distL="0" distR="0" wp14:anchorId="4EEB84F1" wp14:editId="5EE418CD">
                  <wp:extent cx="5400000" cy="4391912"/>
                  <wp:effectExtent l="0" t="0" r="2540" b="5715"/>
                  <wp:docPr id="1953600168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360016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0" cy="4391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7E5A4E" w14:textId="77777777" w:rsidR="00BD47EF" w:rsidRDefault="00000000">
      <w:pPr>
        <w:spacing w:before="60" w:after="200"/>
        <w:jc w:val="center"/>
      </w:pPr>
      <w:r>
        <w:rPr>
          <w:i/>
          <w:iCs/>
          <w:color w:val="808080"/>
          <w:sz w:val="18"/>
          <w:szCs w:val="18"/>
        </w:rPr>
        <w:t>Rys. 2 — Interaktywna dokumentacja API (OpenAPI 3.0)</w:t>
      </w:r>
    </w:p>
    <w:p w14:paraId="7D5B1C41" w14:textId="77777777" w:rsidR="00BD47EF" w:rsidRDefault="00000000">
      <w:pPr>
        <w:pStyle w:val="Nagwek2"/>
      </w:pPr>
      <w:r>
        <w:t>4.2. Kontrola stanu usługi (Health check)</w:t>
      </w:r>
    </w:p>
    <w:p w14:paraId="2B57D31D" w14:textId="77777777" w:rsidR="00BD47EF" w:rsidRPr="00A86064" w:rsidRDefault="00000000">
      <w:pPr>
        <w:spacing w:after="120"/>
        <w:rPr>
          <w:lang w:val="en-US"/>
        </w:rPr>
      </w:pPr>
      <w:r>
        <w:t xml:space="preserve">Zapytanie GET /health potwierdza, że usługa działa. </w:t>
      </w:r>
      <w:r>
        <w:rPr>
          <w:lang w:val="en-US"/>
        </w:rPr>
        <w:t>Odpowiedź:</w:t>
      </w:r>
    </w:p>
    <w:p w14:paraId="634ACFC8" w14:textId="77777777" w:rsidR="00BD47EF" w:rsidRPr="00A86064" w:rsidRDefault="00000000">
      <w:pPr>
        <w:shd w:val="clear" w:color="auto" w:fill="F3F4F6"/>
        <w:spacing w:before="40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>GET /health  -&gt;  200 OK</w:t>
      </w:r>
    </w:p>
    <w:p w14:paraId="48121A1A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>{</w:t>
      </w:r>
    </w:p>
    <w:p w14:paraId="7980273E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 xml:space="preserve">  "status": "Healthy",</w:t>
      </w:r>
    </w:p>
    <w:p w14:paraId="446E6085" w14:textId="77777777" w:rsidR="00BD47EF" w:rsidRDefault="00000000">
      <w:pPr>
        <w:shd w:val="clear" w:color="auto" w:fill="F3F4F6"/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 xml:space="preserve">  </w:t>
      </w:r>
      <w:r>
        <w:rPr>
          <w:rFonts w:ascii="Consolas" w:eastAsia="Consolas" w:hAnsi="Consolas" w:cs="Consolas"/>
          <w:color w:val="1B3A57"/>
          <w:sz w:val="18"/>
          <w:szCs w:val="18"/>
        </w:rPr>
        <w:t>"utc": "2026-06-01T21:03:02Z"</w:t>
      </w:r>
    </w:p>
    <w:p w14:paraId="5979B6D7" w14:textId="77777777" w:rsidR="00BD47EF" w:rsidRDefault="00000000">
      <w:pPr>
        <w:shd w:val="clear" w:color="auto" w:fill="F3F4F6"/>
        <w:spacing w:after="160"/>
      </w:pPr>
      <w:r>
        <w:rPr>
          <w:rFonts w:ascii="Consolas" w:eastAsia="Consolas" w:hAnsi="Consolas" w:cs="Consolas"/>
          <w:color w:val="1B3A57"/>
          <w:sz w:val="18"/>
          <w:szCs w:val="18"/>
        </w:rPr>
        <w:t>}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BD47EF" w14:paraId="20522C20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dashed" w:sz="1" w:space="0" w:color="AAAAAA"/>
              <w:left w:val="dashed" w:sz="1" w:space="0" w:color="AAAAAA"/>
              <w:bottom w:val="dashed" w:sz="1" w:space="0" w:color="AAAAAA"/>
              <w:right w:val="dashed" w:sz="1" w:space="0" w:color="AAAAAA"/>
            </w:tcBorders>
            <w:shd w:val="clear" w:color="auto" w:fill="FAFAFA"/>
            <w:tcMar>
              <w:top w:w="360" w:type="dxa"/>
              <w:left w:w="200" w:type="dxa"/>
              <w:bottom w:w="360" w:type="dxa"/>
              <w:right w:w="200" w:type="dxa"/>
            </w:tcMar>
            <w:vAlign w:val="center"/>
          </w:tcPr>
          <w:p w14:paraId="2D683EDB" w14:textId="77777777" w:rsidR="00BD47EF" w:rsidRDefault="00000000">
            <w:pPr>
              <w:spacing w:after="40"/>
              <w:jc w:val="center"/>
            </w:pPr>
            <w:r>
              <w:drawing>
                <wp:inline distT="0" distB="0" distL="0" distR="0" wp14:anchorId="4E6BF5CC" wp14:editId="2FECED71">
                  <wp:extent cx="5400000" cy="3473565"/>
                  <wp:effectExtent l="0" t="0" r="2540" b="8890"/>
                  <wp:docPr id="1910571706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0571706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0" cy="3473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B7393AE" w14:textId="77777777" w:rsidR="00BD47EF" w:rsidRDefault="00000000">
      <w:pPr>
        <w:spacing w:before="60" w:after="200"/>
        <w:jc w:val="center"/>
      </w:pPr>
      <w:r>
        <w:rPr>
          <w:i/>
          <w:iCs/>
          <w:color w:val="808080"/>
          <w:sz w:val="18"/>
          <w:szCs w:val="18"/>
        </w:rPr>
        <w:t>Rys. 3 — Kontrola stanu usługi</w:t>
      </w:r>
    </w:p>
    <w:p w14:paraId="6BF53BB2" w14:textId="77777777" w:rsidR="00BD47EF" w:rsidRDefault="00000000">
      <w:pPr>
        <w:pStyle w:val="Nagwek2"/>
      </w:pPr>
      <w:r>
        <w:t>4.3. Przyjęcie sygnału z maszyny (POST /api/telemetry)</w:t>
      </w:r>
    </w:p>
    <w:p w14:paraId="3A00126D" w14:textId="77777777" w:rsidR="00BD47EF" w:rsidRDefault="00000000">
      <w:pPr>
        <w:spacing w:after="120"/>
      </w:pPr>
      <w:r>
        <w:t>Wysłanie pojedynczego odczytu telemetrii. Treść żądania:</w:t>
      </w:r>
    </w:p>
    <w:p w14:paraId="2FCFB5B1" w14:textId="77777777" w:rsidR="00BD47EF" w:rsidRPr="00A86064" w:rsidRDefault="00000000">
      <w:pPr>
        <w:shd w:val="clear" w:color="auto" w:fill="F3F4F6"/>
        <w:spacing w:before="40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>POST /api/telemetry</w:t>
      </w:r>
    </w:p>
    <w:p w14:paraId="4E7A15D3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>{</w:t>
      </w:r>
    </w:p>
    <w:p w14:paraId="3CA42747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 xml:space="preserve">  "machineId": "WELD-CELL-07",</w:t>
      </w:r>
    </w:p>
    <w:p w14:paraId="0083B0A7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 xml:space="preserve">  "state": "Running",</w:t>
      </w:r>
    </w:p>
    <w:p w14:paraId="571CB2AF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 xml:space="preserve">  "temperatureC": 72.5,</w:t>
      </w:r>
    </w:p>
    <w:p w14:paraId="02FFD060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 xml:space="preserve">  "partsProduced": 10,</w:t>
      </w:r>
    </w:p>
    <w:p w14:paraId="2AE9A7ED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 xml:space="preserve">  "partsRejected": 1</w:t>
      </w:r>
    </w:p>
    <w:p w14:paraId="60DBF9A7" w14:textId="77777777" w:rsidR="00BD47EF" w:rsidRDefault="00000000">
      <w:pPr>
        <w:shd w:val="clear" w:color="auto" w:fill="F3F4F6"/>
        <w:spacing w:after="160"/>
      </w:pPr>
      <w:r>
        <w:rPr>
          <w:rFonts w:ascii="Consolas" w:eastAsia="Consolas" w:hAnsi="Consolas" w:cs="Consolas"/>
          <w:color w:val="1B3A57"/>
          <w:sz w:val="18"/>
          <w:szCs w:val="18"/>
        </w:rPr>
        <w:t>}</w:t>
      </w:r>
    </w:p>
    <w:p w14:paraId="7205623E" w14:textId="77777777" w:rsidR="00BD47EF" w:rsidRDefault="00000000">
      <w:pPr>
        <w:spacing w:after="120"/>
      </w:pPr>
      <w:r>
        <w:t>Odpowiedź 201 Created — rekord został zapisany w Azure SQL, a baza nadała mu identyfikator:</w:t>
      </w:r>
    </w:p>
    <w:p w14:paraId="5396D7EA" w14:textId="77777777" w:rsidR="00BD47EF" w:rsidRPr="00A86064" w:rsidRDefault="00000000">
      <w:pPr>
        <w:shd w:val="clear" w:color="auto" w:fill="F3F4F6"/>
        <w:spacing w:before="40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>201 Created   (Location: /api/telemetry/66)</w:t>
      </w:r>
    </w:p>
    <w:p w14:paraId="5CE5FB5B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>{</w:t>
      </w:r>
    </w:p>
    <w:p w14:paraId="7DE8B99B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 xml:space="preserve">  "id": 66,</w:t>
      </w:r>
    </w:p>
    <w:p w14:paraId="6425708F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 xml:space="preserve">  "machineId": "WELD-CELL-07",</w:t>
      </w:r>
    </w:p>
    <w:p w14:paraId="0B5C0488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 xml:space="preserve">  "state": "Running",</w:t>
      </w:r>
    </w:p>
    <w:p w14:paraId="64267C11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 xml:space="preserve">  "temperatureC": 72.5,</w:t>
      </w:r>
    </w:p>
    <w:p w14:paraId="33728DE4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 xml:space="preserve">  "partsProduced": 10,</w:t>
      </w:r>
    </w:p>
    <w:p w14:paraId="4CBA2504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 xml:space="preserve">  "partsRejected": 1,</w:t>
      </w:r>
    </w:p>
    <w:p w14:paraId="1C2AE558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 xml:space="preserve">  "recordedAtUtc": "2026-06-01T21:06:23Z"</w:t>
      </w:r>
    </w:p>
    <w:p w14:paraId="34AD211C" w14:textId="77777777" w:rsidR="00BD47EF" w:rsidRDefault="00000000">
      <w:pPr>
        <w:shd w:val="clear" w:color="auto" w:fill="F3F4F6"/>
        <w:spacing w:after="160"/>
      </w:pPr>
      <w:r>
        <w:rPr>
          <w:rFonts w:ascii="Consolas" w:eastAsia="Consolas" w:hAnsi="Consolas" w:cs="Consolas"/>
          <w:color w:val="1B3A57"/>
          <w:sz w:val="18"/>
          <w:szCs w:val="18"/>
        </w:rPr>
        <w:t>}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BD47EF" w14:paraId="74DEA43E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dashed" w:sz="1" w:space="0" w:color="AAAAAA"/>
              <w:left w:val="dashed" w:sz="1" w:space="0" w:color="AAAAAA"/>
              <w:bottom w:val="dashed" w:sz="1" w:space="0" w:color="AAAAAA"/>
              <w:right w:val="dashed" w:sz="1" w:space="0" w:color="AAAAAA"/>
            </w:tcBorders>
            <w:shd w:val="clear" w:color="auto" w:fill="FAFAFA"/>
            <w:tcMar>
              <w:top w:w="360" w:type="dxa"/>
              <w:left w:w="200" w:type="dxa"/>
              <w:bottom w:w="360" w:type="dxa"/>
              <w:right w:w="200" w:type="dxa"/>
            </w:tcMar>
            <w:vAlign w:val="center"/>
          </w:tcPr>
          <w:p w14:paraId="70DBF53A" w14:textId="77777777" w:rsidR="00BD47EF" w:rsidRDefault="00000000">
            <w:pPr>
              <w:spacing w:after="40"/>
              <w:jc w:val="center"/>
            </w:pPr>
            <w:r>
              <w:drawing>
                <wp:inline distT="0" distB="0" distL="0" distR="0" wp14:anchorId="3B32BC97" wp14:editId="44A1A1AF">
                  <wp:extent cx="5400000" cy="5376667"/>
                  <wp:effectExtent l="0" t="0" r="2540" b="8255"/>
                  <wp:docPr id="169237221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2372214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0" cy="53766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4FCADF" w14:textId="77777777" w:rsidR="00BD47EF" w:rsidRDefault="00000000">
      <w:pPr>
        <w:spacing w:before="60" w:after="200"/>
        <w:jc w:val="center"/>
      </w:pPr>
      <w:r>
        <w:rPr>
          <w:i/>
          <w:iCs/>
          <w:color w:val="808080"/>
          <w:sz w:val="18"/>
          <w:szCs w:val="18"/>
        </w:rPr>
        <w:t>Rys. 4 — Przyjęcie i zapis sygnału z maszyny</w:t>
      </w:r>
    </w:p>
    <w:p w14:paraId="3C2699AA" w14:textId="77777777" w:rsidR="00BD47EF" w:rsidRDefault="00000000">
      <w:pPr>
        <w:pStyle w:val="Nagwek2"/>
      </w:pPr>
      <w:r>
        <w:t>4.4. Obliczenie wskaźnika OEE (GET /api/machines/{machineId}/oee)</w:t>
      </w:r>
    </w:p>
    <w:p w14:paraId="2FE1E1A1" w14:textId="77777777" w:rsidR="00BD47EF" w:rsidRPr="00A86064" w:rsidRDefault="00000000">
      <w:pPr>
        <w:spacing w:after="120"/>
        <w:rPr>
          <w:lang w:val="en-US"/>
        </w:rPr>
      </w:pPr>
      <w:r>
        <w:t xml:space="preserve">Dla maszyny WELD-CELL-07 API policzyło OEE na podstawie 33 odczytów zebranych w oknie czasowym. </w:t>
      </w:r>
      <w:r>
        <w:rPr>
          <w:lang w:val="en-US"/>
        </w:rPr>
        <w:t>Odpowiedź:</w:t>
      </w:r>
    </w:p>
    <w:p w14:paraId="0799B349" w14:textId="77777777" w:rsidR="00BD47EF" w:rsidRPr="00A86064" w:rsidRDefault="00000000">
      <w:pPr>
        <w:shd w:val="clear" w:color="auto" w:fill="F3F4F6"/>
        <w:spacing w:before="40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>GET /api/machines/WELD-CELL-07/oee  -&gt;  200 OK</w:t>
      </w:r>
    </w:p>
    <w:p w14:paraId="2E7FAA2C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>{</w:t>
      </w:r>
    </w:p>
    <w:p w14:paraId="72B02BBA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 xml:space="preserve">  "machineId": "WELD-CELL-07",</w:t>
      </w:r>
    </w:p>
    <w:p w14:paraId="6B8A854A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 xml:space="preserve">  "availability": 0.6296,</w:t>
      </w:r>
    </w:p>
    <w:p w14:paraId="3C285880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 xml:space="preserve">  "performance": 1.0,</w:t>
      </w:r>
    </w:p>
    <w:p w14:paraId="72D800A3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 xml:space="preserve">  "quality": 0.9048,</w:t>
      </w:r>
    </w:p>
    <w:p w14:paraId="639D5AC2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 xml:space="preserve">  "oee": 0.5697,</w:t>
      </w:r>
    </w:p>
    <w:p w14:paraId="26AFB3E6" w14:textId="77777777" w:rsidR="00BD47EF" w:rsidRPr="00A86064" w:rsidRDefault="00000000">
      <w:pPr>
        <w:shd w:val="clear" w:color="auto" w:fill="F3F4F6"/>
        <w:rPr>
          <w:lang w:val="en-US"/>
        </w:rPr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 xml:space="preserve">  "oeePercent": 57,</w:t>
      </w:r>
    </w:p>
    <w:p w14:paraId="3D9535DA" w14:textId="77777777" w:rsidR="00BD47EF" w:rsidRDefault="00000000">
      <w:pPr>
        <w:shd w:val="clear" w:color="auto" w:fill="F3F4F6"/>
      </w:pPr>
      <w:r>
        <w:rPr>
          <w:rFonts w:ascii="Consolas" w:eastAsia="Consolas" w:hAnsi="Consolas" w:cs="Consolas"/>
          <w:color w:val="1B3A57"/>
          <w:sz w:val="18"/>
          <w:szCs w:val="18"/>
          <w:lang w:val="en-US"/>
        </w:rPr>
        <w:t xml:space="preserve">  </w:t>
      </w:r>
      <w:r>
        <w:rPr>
          <w:rFonts w:ascii="Consolas" w:eastAsia="Consolas" w:hAnsi="Consolas" w:cs="Consolas"/>
          <w:color w:val="1B3A57"/>
          <w:sz w:val="18"/>
          <w:szCs w:val="18"/>
        </w:rPr>
        <w:t>"totalPartsProduced": 63,</w:t>
      </w:r>
    </w:p>
    <w:p w14:paraId="203FC7FC" w14:textId="77777777" w:rsidR="00BD47EF" w:rsidRDefault="00000000">
      <w:pPr>
        <w:shd w:val="clear" w:color="auto" w:fill="F3F4F6"/>
      </w:pPr>
      <w:r>
        <w:rPr>
          <w:rFonts w:ascii="Consolas" w:eastAsia="Consolas" w:hAnsi="Consolas" w:cs="Consolas"/>
          <w:color w:val="1B3A57"/>
          <w:sz w:val="18"/>
          <w:szCs w:val="18"/>
        </w:rPr>
        <w:t xml:space="preserve">  "totalPartsRejected": 6,</w:t>
      </w:r>
    </w:p>
    <w:p w14:paraId="49E7D594" w14:textId="77777777" w:rsidR="00BD47EF" w:rsidRDefault="00000000">
      <w:pPr>
        <w:shd w:val="clear" w:color="auto" w:fill="F3F4F6"/>
      </w:pPr>
      <w:r>
        <w:rPr>
          <w:rFonts w:ascii="Consolas" w:eastAsia="Consolas" w:hAnsi="Consolas" w:cs="Consolas"/>
          <w:color w:val="1B3A57"/>
          <w:sz w:val="18"/>
          <w:szCs w:val="18"/>
        </w:rPr>
        <w:t xml:space="preserve">  "sampleCount": 33</w:t>
      </w:r>
    </w:p>
    <w:p w14:paraId="5DF97019" w14:textId="77777777" w:rsidR="00BD47EF" w:rsidRDefault="00000000">
      <w:pPr>
        <w:shd w:val="clear" w:color="auto" w:fill="F3F4F6"/>
        <w:spacing w:after="160"/>
      </w:pPr>
      <w:r>
        <w:rPr>
          <w:rFonts w:ascii="Consolas" w:eastAsia="Consolas" w:hAnsi="Consolas" w:cs="Consolas"/>
          <w:color w:val="1B3A57"/>
          <w:sz w:val="18"/>
          <w:szCs w:val="18"/>
        </w:rPr>
        <w:t>}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BD47EF" w14:paraId="4B55B2E7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dashed" w:sz="1" w:space="0" w:color="AAAAAA"/>
              <w:left w:val="dashed" w:sz="1" w:space="0" w:color="AAAAAA"/>
              <w:bottom w:val="dashed" w:sz="1" w:space="0" w:color="AAAAAA"/>
              <w:right w:val="dashed" w:sz="1" w:space="0" w:color="AAAAAA"/>
            </w:tcBorders>
            <w:shd w:val="clear" w:color="auto" w:fill="FAFAFA"/>
            <w:tcMar>
              <w:top w:w="360" w:type="dxa"/>
              <w:left w:w="200" w:type="dxa"/>
              <w:bottom w:w="360" w:type="dxa"/>
              <w:right w:w="200" w:type="dxa"/>
            </w:tcMar>
            <w:vAlign w:val="center"/>
          </w:tcPr>
          <w:p w14:paraId="454E470C" w14:textId="77777777" w:rsidR="00BD47EF" w:rsidRDefault="00000000">
            <w:pPr>
              <w:spacing w:after="40"/>
              <w:jc w:val="center"/>
            </w:pPr>
            <w:r>
              <w:drawing>
                <wp:inline distT="0" distB="0" distL="0" distR="0" wp14:anchorId="62E4A824" wp14:editId="50279E93">
                  <wp:extent cx="5400000" cy="5181033"/>
                  <wp:effectExtent l="0" t="0" r="2540" b="6350"/>
                  <wp:docPr id="653871568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3871568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0" cy="51810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1BD3324" w14:textId="77777777" w:rsidR="00BD47EF" w:rsidRDefault="00000000">
      <w:pPr>
        <w:spacing w:before="60" w:after="200"/>
        <w:jc w:val="center"/>
      </w:pPr>
      <w:r>
        <w:rPr>
          <w:i/>
          <w:iCs/>
          <w:color w:val="808080"/>
          <w:sz w:val="18"/>
          <w:szCs w:val="18"/>
        </w:rPr>
        <w:t>Rys. 5 — Obliczenie wskaźnika OEE z danych zapisanych w Azure SQL</w:t>
      </w:r>
    </w:p>
    <w:p w14:paraId="425FC325" w14:textId="77777777" w:rsidR="00BD47EF" w:rsidRDefault="00000000">
      <w:pPr>
        <w:pStyle w:val="Nagwek1"/>
      </w:pPr>
      <w:r>
        <w:t>5. Wyniki — wskaźnik OEE</w:t>
      </w:r>
    </w:p>
    <w:p w14:paraId="6ECE3ED3" w14:textId="77777777" w:rsidR="00BD47EF" w:rsidRDefault="00000000">
      <w:pPr>
        <w:spacing w:after="120"/>
      </w:pPr>
      <w:r>
        <w:t>Wartości obliczone na żywo dla maszyny WELD-CELL-07 (33 próbki, 63 sztuki wyprodukowane, 6 odrzuconych):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800"/>
        <w:gridCol w:w="4826"/>
      </w:tblGrid>
      <w:tr w:rsidR="00BD47EF" w14:paraId="5F53F7E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D236E" w14:textId="77777777" w:rsidR="00BD47EF" w:rsidRDefault="00000000">
            <w:r>
              <w:rPr>
                <w:b/>
                <w:bCs/>
                <w:color w:val="FFFFFF"/>
              </w:rPr>
              <w:t>Wskaźnik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519B1" w14:textId="77777777" w:rsidR="00BD47EF" w:rsidRDefault="00000000">
            <w:r>
              <w:rPr>
                <w:b/>
                <w:bCs/>
                <w:color w:val="FFFFFF"/>
              </w:rPr>
              <w:t>Wartość</w:t>
            </w:r>
          </w:p>
        </w:tc>
        <w:tc>
          <w:tcPr>
            <w:tcW w:w="4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74FFA" w14:textId="77777777" w:rsidR="00BD47EF" w:rsidRDefault="00000000">
            <w:r>
              <w:rPr>
                <w:b/>
                <w:bCs/>
                <w:color w:val="FFFFFF"/>
              </w:rPr>
              <w:t>Definicja</w:t>
            </w:r>
          </w:p>
        </w:tc>
      </w:tr>
      <w:tr w:rsidR="00BD47EF" w14:paraId="526035B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9F05F" w14:textId="77777777" w:rsidR="00BD47EF" w:rsidRDefault="00000000">
            <w:r>
              <w:rPr>
                <w:b/>
                <w:bCs/>
              </w:rPr>
              <w:t>Dostępność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740BC" w14:textId="77777777" w:rsidR="00BD47EF" w:rsidRDefault="00000000">
            <w:r>
              <w:t>63,0 %</w:t>
            </w:r>
          </w:p>
        </w:tc>
        <w:tc>
          <w:tcPr>
            <w:tcW w:w="4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B2611" w14:textId="77777777" w:rsidR="00BD47EF" w:rsidRDefault="00000000">
            <w:r>
              <w:t>Czas pracy / planowany czas produkcji</w:t>
            </w:r>
          </w:p>
        </w:tc>
      </w:tr>
      <w:tr w:rsidR="00BD47EF" w14:paraId="10BFBB7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A6C26" w14:textId="77777777" w:rsidR="00BD47EF" w:rsidRDefault="00000000">
            <w:r>
              <w:rPr>
                <w:b/>
                <w:bCs/>
              </w:rPr>
              <w:t>Wydajność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3DB80" w14:textId="77777777" w:rsidR="00BD47EF" w:rsidRDefault="00000000">
            <w:r>
              <w:t>100,0 %</w:t>
            </w:r>
          </w:p>
        </w:tc>
        <w:tc>
          <w:tcPr>
            <w:tcW w:w="4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89457" w14:textId="77777777" w:rsidR="00BD47EF" w:rsidRDefault="00000000">
            <w:r>
              <w:t>(Nominalny czas cyklu × liczba sztuk) / czas pracy</w:t>
            </w:r>
          </w:p>
        </w:tc>
      </w:tr>
      <w:tr w:rsidR="00BD47EF" w14:paraId="30C420B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70FB5" w14:textId="77777777" w:rsidR="00BD47EF" w:rsidRDefault="00000000">
            <w:r>
              <w:rPr>
                <w:b/>
                <w:bCs/>
              </w:rPr>
              <w:t>Jakość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25FEF" w14:textId="77777777" w:rsidR="00BD47EF" w:rsidRDefault="00000000">
            <w:r>
              <w:t>90,5 %</w:t>
            </w:r>
          </w:p>
        </w:tc>
        <w:tc>
          <w:tcPr>
            <w:tcW w:w="4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70AC0" w14:textId="77777777" w:rsidR="00BD47EF" w:rsidRDefault="00000000">
            <w:r>
              <w:t>Dobre sztuki / wszystkie sztuki</w:t>
            </w:r>
          </w:p>
        </w:tc>
      </w:tr>
      <w:tr w:rsidR="00BD47EF" w14:paraId="2F8608B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7284C" w14:textId="77777777" w:rsidR="00BD47EF" w:rsidRDefault="00000000">
            <w:r>
              <w:rPr>
                <w:b/>
                <w:bCs/>
              </w:rPr>
              <w:t>OEE (łącznie)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1F16E" w14:textId="77777777" w:rsidR="00BD47EF" w:rsidRDefault="00000000">
            <w:r>
              <w:t>57 %</w:t>
            </w:r>
          </w:p>
        </w:tc>
        <w:tc>
          <w:tcPr>
            <w:tcW w:w="4826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2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7F2B0" w14:textId="77777777" w:rsidR="00BD47EF" w:rsidRDefault="00000000">
            <w:r>
              <w:t>Dostępność × Wydajność × Jakość</w:t>
            </w:r>
          </w:p>
        </w:tc>
      </w:tr>
    </w:tbl>
    <w:p w14:paraId="4409A9A7" w14:textId="77777777" w:rsidR="00BD47EF" w:rsidRDefault="00000000">
      <w:pPr>
        <w:spacing w:after="120"/>
      </w:pPr>
      <w:r>
        <w:rPr>
          <w:i/>
          <w:iCs/>
          <w:sz w:val="20"/>
          <w:szCs w:val="20"/>
        </w:rPr>
        <w:t>Wynik 57% jest realistyczny dla linii produkcyjnej (poziom „world-class” to ok. 85%); głównym ograniczeniem jest tu Dostępność, co od razu wskazuje obszar do poprawy.</w:t>
      </w:r>
    </w:p>
    <w:p w14:paraId="41BE3C97" w14:textId="77777777" w:rsidR="00BD47EF" w:rsidRDefault="00000000">
      <w:pPr>
        <w:pStyle w:val="Nagwek1"/>
      </w:pPr>
      <w:r>
        <w:t>6. Infrastruktura w Azure</w:t>
      </w:r>
    </w:p>
    <w:p w14:paraId="3A274D4A" w14:textId="77777777" w:rsidR="00BD47EF" w:rsidRDefault="00000000">
      <w:pPr>
        <w:spacing w:after="120"/>
      </w:pPr>
      <w:r>
        <w:t>Wszystkie zasoby utworzone deklaratywnie przez Terraform, w grupie zasobów rg-factorytel-dev:</w:t>
      </w:r>
    </w:p>
    <w:p w14:paraId="10CCE0F5" w14:textId="77777777" w:rsidR="00BD47EF" w:rsidRPr="00A86064" w:rsidRDefault="00000000">
      <w:pPr>
        <w:pStyle w:val="Akapitzlist"/>
        <w:numPr>
          <w:ilvl w:val="0"/>
          <w:numId w:val="2"/>
        </w:numPr>
        <w:spacing w:after="60"/>
        <w:rPr>
          <w:lang w:val="en-US"/>
        </w:rPr>
      </w:pPr>
      <w:r>
        <w:rPr>
          <w:lang w:val="en-US"/>
        </w:rPr>
        <w:t>App Service (Linux, .NET 9): app-factorytel-dev-hnzv6 — region Poland Central</w:t>
      </w:r>
    </w:p>
    <w:p w14:paraId="1EDEDF03" w14:textId="77777777" w:rsidR="00BD47EF" w:rsidRPr="00A86064" w:rsidRDefault="00000000">
      <w:pPr>
        <w:pStyle w:val="Akapitzlist"/>
        <w:numPr>
          <w:ilvl w:val="0"/>
          <w:numId w:val="2"/>
        </w:numPr>
        <w:spacing w:after="60"/>
        <w:rPr>
          <w:lang w:val="en-US"/>
        </w:rPr>
      </w:pPr>
      <w:r>
        <w:rPr>
          <w:lang w:val="en-US"/>
        </w:rPr>
        <w:t>Azure SQL Database: sql-factorytel-dev-hnzv6 / baza sqldb-telemetry</w:t>
      </w:r>
    </w:p>
    <w:p w14:paraId="671E3EEB" w14:textId="77777777" w:rsidR="00BD47EF" w:rsidRPr="00A86064" w:rsidRDefault="00000000">
      <w:pPr>
        <w:pStyle w:val="Akapitzlist"/>
        <w:numPr>
          <w:ilvl w:val="0"/>
          <w:numId w:val="2"/>
        </w:numPr>
        <w:spacing w:after="60"/>
        <w:rPr>
          <w:lang w:val="en-US"/>
        </w:rPr>
      </w:pPr>
      <w:r>
        <w:rPr>
          <w:lang w:val="en-US"/>
        </w:rPr>
        <w:t>Azure IoT Hub: iot-factorytel-dev-hnzv6 — region Germany West Central</w:t>
      </w:r>
    </w:p>
    <w:p w14:paraId="0E60AC7E" w14:textId="77777777" w:rsidR="00BD47EF" w:rsidRPr="00A86064" w:rsidRDefault="00000000">
      <w:pPr>
        <w:pStyle w:val="Akapitzlist"/>
        <w:numPr>
          <w:ilvl w:val="0"/>
          <w:numId w:val="2"/>
        </w:numPr>
        <w:spacing w:after="60"/>
        <w:rPr>
          <w:lang w:val="en-US"/>
        </w:rPr>
      </w:pPr>
      <w:r>
        <w:rPr>
          <w:lang w:val="en-US"/>
        </w:rPr>
        <w:t>Azure Container Registry oraz Application Insights + Log Analytics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BD47EF" w14:paraId="665D593D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dashed" w:sz="1" w:space="0" w:color="AAAAAA"/>
              <w:left w:val="dashed" w:sz="1" w:space="0" w:color="AAAAAA"/>
              <w:bottom w:val="dashed" w:sz="1" w:space="0" w:color="AAAAAA"/>
              <w:right w:val="dashed" w:sz="1" w:space="0" w:color="AAAAAA"/>
            </w:tcBorders>
            <w:shd w:val="clear" w:color="auto" w:fill="FAFAFA"/>
            <w:tcMar>
              <w:top w:w="360" w:type="dxa"/>
              <w:left w:w="200" w:type="dxa"/>
              <w:bottom w:w="360" w:type="dxa"/>
              <w:right w:w="200" w:type="dxa"/>
            </w:tcMar>
            <w:vAlign w:val="center"/>
          </w:tcPr>
          <w:p w14:paraId="2DC61F90" w14:textId="77777777" w:rsidR="00BD47EF" w:rsidRDefault="00000000">
            <w:pPr>
              <w:spacing w:after="40"/>
              <w:jc w:val="center"/>
            </w:pPr>
            <w:r>
              <w:drawing>
                <wp:inline distT="0" distB="0" distL="0" distR="0" wp14:anchorId="1476CE35" wp14:editId="36DB7DE0">
                  <wp:extent cx="5400000" cy="3519632"/>
                  <wp:effectExtent l="0" t="0" r="2540" b="0"/>
                  <wp:docPr id="1545135772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513577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0" cy="35196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6356895" w14:textId="77777777" w:rsidR="00BD47EF" w:rsidRDefault="00000000">
      <w:pPr>
        <w:spacing w:before="60" w:after="200"/>
        <w:jc w:val="center"/>
      </w:pPr>
      <w:r>
        <w:rPr>
          <w:i/>
          <w:iCs/>
          <w:color w:val="808080"/>
          <w:sz w:val="18"/>
          <w:szCs w:val="18"/>
        </w:rPr>
        <w:t>Rys. 6 — Zasoby utworzone przez Terraform</w:t>
      </w:r>
    </w:p>
    <w:p w14:paraId="69F9D36C" w14:textId="77777777" w:rsidR="00BD47EF" w:rsidRDefault="00000000">
      <w:pPr>
        <w:pStyle w:val="Nagwek1"/>
      </w:pPr>
      <w:r>
        <w:t>7. Automatyzacja (IaC + CI/CD)</w:t>
      </w:r>
    </w:p>
    <w:p w14:paraId="3030D863" w14:textId="77777777" w:rsidR="00BD47EF" w:rsidRDefault="00000000">
      <w:pPr>
        <w:pStyle w:val="Akapitzlist"/>
        <w:numPr>
          <w:ilvl w:val="0"/>
          <w:numId w:val="2"/>
        </w:numPr>
        <w:spacing w:after="60"/>
      </w:pPr>
      <w:r>
        <w:t>Terraform — cała infrastruktura jako kod, stan zdalny w Azure Storage; weryfikacja terraform fmt + validate.</w:t>
      </w:r>
    </w:p>
    <w:p w14:paraId="5CEA14FF" w14:textId="77777777" w:rsidR="00BD47EF" w:rsidRDefault="00000000">
      <w:pPr>
        <w:pStyle w:val="Akapitzlist"/>
        <w:numPr>
          <w:ilvl w:val="0"/>
          <w:numId w:val="2"/>
        </w:numPr>
        <w:spacing w:after="60"/>
      </w:pPr>
      <w:r>
        <w:t>GitHub Actions — przy każdym push uruchamiane są testy .NET (xUnit), testy PowerShell (Pester), PSScriptAnalyzer i walidacja Terraform (status: passing).</w:t>
      </w:r>
    </w:p>
    <w:p w14:paraId="1B345BF9" w14:textId="77777777" w:rsidR="00BD47EF" w:rsidRDefault="00000000">
      <w:pPr>
        <w:pStyle w:val="Akapitzlist"/>
        <w:numPr>
          <w:ilvl w:val="0"/>
          <w:numId w:val="2"/>
        </w:numPr>
        <w:spacing w:after="60"/>
      </w:pPr>
      <w:r>
        <w:t>EF Core Migrations — schemat bazy tworzony automatycznie przy starcie aplikacji.</w:t>
      </w:r>
    </w:p>
    <w:p w14:paraId="42B9110F" w14:textId="77777777" w:rsidR="00BD47EF" w:rsidRDefault="00000000">
      <w:pPr>
        <w:pStyle w:val="Akapitzlist"/>
        <w:numPr>
          <w:ilvl w:val="0"/>
          <w:numId w:val="2"/>
        </w:numPr>
        <w:spacing w:after="60"/>
      </w:pPr>
      <w:r>
        <w:t>PowerShell — symulator telemetrii hali produkcyjnej oraz raport OEE; jakość pilnowana przez Pester i PSScriptAnalyzer.</w:t>
      </w:r>
    </w:p>
    <w:p>
      <w:pPr>
        <w:pStyle w:val="Nagwek1"/>
      </w:pPr>
      <w:r>
        <w:t xml:space="preserve">8. Konsola operatora — provisioning i obsługa (na żywo)</w:t>
      </w:r>
    </w:p>
    <w:p>
      <w:pPr>
        <w:spacing w:after="120"/>
      </w:pPr>
      <w:r>
        <w:t xml:space="preserve">Całe środowisko Azure obsługiwane jest z jednej konsoli operatora (PowerShell): od logowania i provisioningu infrastruktury (terraform apply), przez wdrożenie aplikacji i włączanie/wyłączanie usługi, po jej całkowite usunięcie (terraform destroy) w celu kontroli kosztów. Poniżej kolejne kroki uruchomienia i obsługi środowiska na żywo.</w:t>
      </w:r>
    </w:p>
    <w:p>
      <w:pPr>
        <w:spacing w:before="120" w:after="60"/>
        <w:jc w:val="center"/>
      </w:pPr>
      <w:r>
        <w:drawing>
          <wp:inline distT="0" distB="0" distL="0" distR="0" wp14:anchorId="4D8C8113" wp14:editId="73B77889">
            <wp:extent cx="5600000" cy="6784401"/>
            <wp:effectExtent l="0" t="0" r="2540" b="9525"/>
            <wp:docPr id="43370677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7067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6784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i/>
          <w:iCs/>
          <w:color w:val="808080"/>
          <w:sz w:val="18"/>
          <w:szCs w:val="18"/>
        </w:rPr>
        <w:t xml:space="preserve">Rys. 7 — Konsola operatora: stan początkowy (status OFFLINE) oraz logowanie do Azure (az login, subskrypcja „Azure for Students”) i ustawienie hasła SQL dla sesji.</w:t>
      </w:r>
    </w:p>
    <w:p>
      <w:pPr>
        <w:spacing w:before="120" w:after="60"/>
        <w:jc w:val="center"/>
      </w:pPr>
      <w:r>
        <w:drawing>
          <wp:inline distT="0" distB="0" distL="0" distR="0" wp14:anchorId="18B4EDA3" wp14:editId="700D57BC">
            <wp:extent cx="5600000" cy="4090516"/>
            <wp:effectExtent l="0" t="0" r="0" b="9525"/>
            <wp:docPr id="28358545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5854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4090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i/>
          <w:iCs/>
          <w:color w:val="808080"/>
          <w:sz w:val="18"/>
          <w:szCs w:val="18"/>
        </w:rPr>
        <w:t xml:space="preserve">Rys. 8 — Po provisioningu: status API ONLINE i menu operatora z opcją „[9] Zarządzanie Azure (provision / start / stop / usuń)”.</w:t>
      </w:r>
    </w:p>
    <w:p>
      <w:pPr>
        <w:spacing w:before="120" w:after="60"/>
        <w:jc w:val="center"/>
      </w:pPr>
      <w:r>
        <w:drawing>
          <wp:inline distT="0" distB="0" distL="0" distR="0" wp14:anchorId="34482761" wp14:editId="4F1B7893">
            <wp:extent cx="5600000" cy="9459615"/>
            <wp:effectExtent l="0" t="0" r="0" b="0"/>
            <wp:docPr id="150050491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5049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945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i/>
          <w:iCs/>
          <w:color w:val="808080"/>
          <w:sz w:val="18"/>
          <w:szCs w:val="18"/>
        </w:rPr>
        <w:t xml:space="preserve">Rys. 9 — Symulator hali produkcyjnej ([2]): strumień telemetrii maszyn wysyłany do API i zapisywany w Azure SQL.</w:t>
      </w:r>
    </w:p>
    <w:p>
      <w:pPr>
        <w:spacing w:before="120" w:after="60"/>
        <w:jc w:val="center"/>
      </w:pPr>
      <w:r>
        <w:drawing>
          <wp:inline distT="0" distB="0" distL="0" distR="0" wp14:anchorId="4241DDF1" wp14:editId="73EC2D6E">
            <wp:extent cx="5600000" cy="7510368"/>
            <wp:effectExtent l="0" t="0" r="0" b="0"/>
            <wp:docPr id="29446703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4670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751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i/>
          <w:iCs/>
          <w:color w:val="808080"/>
          <w:sz w:val="18"/>
          <w:szCs w:val="18"/>
        </w:rPr>
        <w:t xml:space="preserve">Rys. 10 — Raport OEE wyliczony w konsoli ([3]) dla maszyn WELD-CELL-07 i PRESS-12.</w:t>
      </w:r>
    </w:p>
    <w:p w14:paraId="50D04FBA" w14:textId="77777777" w:rsidR="00BD47EF" w:rsidRDefault="00000000">
      <w:pPr>
        <w:pStyle w:val="Nagwek1"/>
      </w:pPr>
      <w:r>
        <w:t>9. Podsumowanie</w:t>
      </w:r>
    </w:p>
    <w:p w14:paraId="628F8642" w14:textId="241B7CB9" w:rsidR="00BD47EF" w:rsidRDefault="00000000">
      <w:pPr>
        <w:spacing w:after="120"/>
      </w:pPr>
      <w:r>
        <w:t xml:space="preserve">Projekt pokazuje pełny, działający łańcuch DevOps na stacku Microsoft: od kodu aplikacji (.NET), przez Infrastructure as Code (Terraform) i CI/CD (GitHub Actions / Azure Pipelines), po wdrożenie i działanie w chmurze Azure z trwałym zapisem do Azure SQL. Aplikacja realizuje konkretny przypadek przemysłowy — monitoring telemetrii maszyn i obliczanie </w:t>
        <w:lastRenderedPageBreak/>
        <w:t>OEE.</w:t>
      </w:r>
    </w:p>
    <w:sectPr w:rsidR="00D55B18">
      <w:footerReference w:type="default" r:id="rId1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282E11" w14:textId="77777777" w:rsidR="00FA742D" w:rsidRDefault="00FA742D">
      <w:r>
        <w:separator/>
      </w:r>
    </w:p>
  </w:endnote>
  <w:endnote w:type="continuationSeparator" w:id="0">
    <w:p w14:paraId="6FDBA7AD" w14:textId="77777777" w:rsidR="00FA742D" w:rsidRDefault="00FA74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96006" w14:textId="77777777" w:rsidR="00BD47EF" w:rsidRDefault="00000000">
    <w:pPr>
      <w:jc w:val="center"/>
    </w:pPr>
    <w:proofErr w:type="spellStart"/>
    <w:r>
      <w:rPr>
        <w:color w:val="808080"/>
        <w:sz w:val="16"/>
        <w:szCs w:val="16"/>
      </w:rPr>
      <w:t>Factory</w:t>
    </w:r>
    <w:proofErr w:type="spellEnd"/>
    <w:r>
      <w:rPr>
        <w:color w:val="808080"/>
        <w:sz w:val="16"/>
        <w:szCs w:val="16"/>
      </w:rPr>
      <w:t xml:space="preserve"> Telemetry &amp; OEE Monitor   •  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A86064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F15D88" w14:textId="77777777" w:rsidR="00FA742D" w:rsidRDefault="00FA742D">
      <w:r>
        <w:separator/>
      </w:r>
    </w:p>
  </w:footnote>
  <w:footnote w:type="continuationSeparator" w:id="0">
    <w:p w14:paraId="2F9A47A2" w14:textId="77777777" w:rsidR="00FA742D" w:rsidRDefault="00FA742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83EEF"/>
    <w:multiLevelType w:val="hybridMultilevel"/>
    <w:tmpl w:val="8CC28214"/>
    <w:lvl w:ilvl="0" w:tplc="DA904852">
      <w:start w:val="1"/>
      <w:numFmt w:val="bullet"/>
      <w:lvlText w:val="●"/>
      <w:lvlJc w:val="left"/>
      <w:pPr>
        <w:ind w:left="720" w:hanging="360"/>
      </w:pPr>
    </w:lvl>
    <w:lvl w:ilvl="1" w:tplc="D9A4E95A">
      <w:start w:val="1"/>
      <w:numFmt w:val="bullet"/>
      <w:lvlText w:val="○"/>
      <w:lvlJc w:val="left"/>
      <w:pPr>
        <w:ind w:left="1440" w:hanging="360"/>
      </w:pPr>
    </w:lvl>
    <w:lvl w:ilvl="2" w:tplc="CE4E1D00">
      <w:start w:val="1"/>
      <w:numFmt w:val="bullet"/>
      <w:lvlText w:val="■"/>
      <w:lvlJc w:val="left"/>
      <w:pPr>
        <w:ind w:left="2160" w:hanging="360"/>
      </w:pPr>
    </w:lvl>
    <w:lvl w:ilvl="3" w:tplc="D77C6D54">
      <w:start w:val="1"/>
      <w:numFmt w:val="bullet"/>
      <w:lvlText w:val="●"/>
      <w:lvlJc w:val="left"/>
      <w:pPr>
        <w:ind w:left="2880" w:hanging="360"/>
      </w:pPr>
    </w:lvl>
    <w:lvl w:ilvl="4" w:tplc="CE5E7762">
      <w:start w:val="1"/>
      <w:numFmt w:val="bullet"/>
      <w:lvlText w:val="○"/>
      <w:lvlJc w:val="left"/>
      <w:pPr>
        <w:ind w:left="3600" w:hanging="360"/>
      </w:pPr>
    </w:lvl>
    <w:lvl w:ilvl="5" w:tplc="5E44D44C">
      <w:start w:val="1"/>
      <w:numFmt w:val="bullet"/>
      <w:lvlText w:val="■"/>
      <w:lvlJc w:val="left"/>
      <w:pPr>
        <w:ind w:left="4320" w:hanging="360"/>
      </w:pPr>
    </w:lvl>
    <w:lvl w:ilvl="6" w:tplc="F6CEF18C">
      <w:start w:val="1"/>
      <w:numFmt w:val="bullet"/>
      <w:lvlText w:val="●"/>
      <w:lvlJc w:val="left"/>
      <w:pPr>
        <w:ind w:left="5040" w:hanging="360"/>
      </w:pPr>
    </w:lvl>
    <w:lvl w:ilvl="7" w:tplc="1EF02C50">
      <w:start w:val="1"/>
      <w:numFmt w:val="bullet"/>
      <w:lvlText w:val="●"/>
      <w:lvlJc w:val="left"/>
      <w:pPr>
        <w:ind w:left="5760" w:hanging="360"/>
      </w:pPr>
    </w:lvl>
    <w:lvl w:ilvl="8" w:tplc="6A42E2B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65F7A85"/>
    <w:multiLevelType w:val="hybridMultilevel"/>
    <w:tmpl w:val="2D9C3288"/>
    <w:lvl w:ilvl="0" w:tplc="D4044BBA">
      <w:start w:val="1"/>
      <w:numFmt w:val="bullet"/>
      <w:lvlText w:val="•"/>
      <w:lvlJc w:val="left"/>
      <w:pPr>
        <w:ind w:left="540" w:hanging="280"/>
      </w:pPr>
    </w:lvl>
    <w:lvl w:ilvl="1" w:tplc="86A85C32">
      <w:numFmt w:val="decimal"/>
      <w:lvlText w:val=""/>
      <w:lvlJc w:val="left"/>
    </w:lvl>
    <w:lvl w:ilvl="2" w:tplc="3D822E1A">
      <w:numFmt w:val="decimal"/>
      <w:lvlText w:val=""/>
      <w:lvlJc w:val="left"/>
    </w:lvl>
    <w:lvl w:ilvl="3" w:tplc="F44802E6">
      <w:numFmt w:val="decimal"/>
      <w:lvlText w:val=""/>
      <w:lvlJc w:val="left"/>
    </w:lvl>
    <w:lvl w:ilvl="4" w:tplc="946EBB00">
      <w:numFmt w:val="decimal"/>
      <w:lvlText w:val=""/>
      <w:lvlJc w:val="left"/>
    </w:lvl>
    <w:lvl w:ilvl="5" w:tplc="68D415B2">
      <w:numFmt w:val="decimal"/>
      <w:lvlText w:val=""/>
      <w:lvlJc w:val="left"/>
    </w:lvl>
    <w:lvl w:ilvl="6" w:tplc="952AD820">
      <w:numFmt w:val="decimal"/>
      <w:lvlText w:val=""/>
      <w:lvlJc w:val="left"/>
    </w:lvl>
    <w:lvl w:ilvl="7" w:tplc="EBC6C716">
      <w:numFmt w:val="decimal"/>
      <w:lvlText w:val=""/>
      <w:lvlJc w:val="left"/>
    </w:lvl>
    <w:lvl w:ilvl="8" w:tplc="24CACBD6">
      <w:numFmt w:val="decimal"/>
      <w:lvlText w:val=""/>
      <w:lvlJc w:val="left"/>
    </w:lvl>
  </w:abstractNum>
  <w:num w:numId="1" w16cid:durableId="937638388">
    <w:abstractNumId w:val="0"/>
    <w:lvlOverride w:ilvl="0">
      <w:startOverride w:val="1"/>
    </w:lvlOverride>
  </w:num>
  <w:num w:numId="2" w16cid:durableId="90036356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47EF"/>
    <w:rsid w:val="00305884"/>
    <w:rsid w:val="00A86064"/>
    <w:rsid w:val="00BD47EF"/>
    <w:rsid w:val="00CF7F60"/>
    <w:rsid w:val="00D55B18"/>
    <w:rsid w:val="00FA74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F1384F"/>
  <w15:docId w15:val="{8B85D3FA-C98A-4BB4-8441-23BDAC506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uiPriority w:val="9"/>
    <w:qFormat/>
    <w:pPr>
      <w:pBdr>
        <w:bottom w:val="single" w:sz="4" w:space="4" w:color="D0D7DE"/>
      </w:pBdr>
      <w:spacing w:before="280" w:after="140"/>
      <w:outlineLvl w:val="0"/>
    </w:pPr>
    <w:rPr>
      <w:b/>
      <w:bCs/>
      <w:color w:val="1F4E79"/>
      <w:sz w:val="30"/>
      <w:szCs w:val="30"/>
    </w:rPr>
  </w:style>
  <w:style w:type="paragraph" w:styleId="Nagwek2">
    <w:name w:val="heading 2"/>
    <w:uiPriority w:val="9"/>
    <w:unhideWhenUsed/>
    <w:qFormat/>
    <w:pPr>
      <w:spacing w:before="200" w:after="100"/>
      <w:outlineLvl w:val="1"/>
    </w:pPr>
    <w:rPr>
      <w:b/>
      <w:bCs/>
      <w:color w:val="2E2E2E"/>
      <w:sz w:val="25"/>
      <w:szCs w:val="25"/>
    </w:rPr>
  </w:style>
  <w:style w:type="paragraph" w:styleId="Nagwe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  <w:rPr>
      <w:sz w:val="20"/>
      <w:szCs w:val="20"/>
    </w:rPr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  <w:rPr>
      <w:sz w:val="20"/>
      <w:szCs w:val="20"/>
    </w:rPr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hyperlink" Target="https://github.com/dawidbis/IoT_Production_Monitor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app-factorytel-dev-hnzv6.azurewebsites.net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13</Pages>
  <Words>944</Words>
  <Characters>5667</Characters>
  <Application>Microsoft Office Word</Application>
  <DocSecurity>0</DocSecurity>
  <Lines>47</Lines>
  <Paragraphs>13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Dawid Biś (db310378)</cp:lastModifiedBy>
  <cp:revision>2</cp:revision>
  <dcterms:created xsi:type="dcterms:W3CDTF">2026-06-01T21:13:00Z</dcterms:created>
  <dcterms:modified xsi:type="dcterms:W3CDTF">2026-06-02T12:24:00Z</dcterms:modified>
</cp:coreProperties>
</file>