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</w:pPr>
      <w:r>
        <w:rPr>
          <w:rFonts w:ascii="Aptos" w:hAnsi="Aptos"/>
          <w:b/>
          <w:i w:val="0"/>
          <w:color w:val="C44718"/>
          <w:sz w:val="34"/>
        </w:rPr>
        <w:t>PROTOKÓŁ Z OGLĘDZIN I NAPRAWY</w:t>
      </w:r>
    </w:p>
    <w:p>
      <w:pPr>
        <w:spacing w:after="140"/>
      </w:pPr>
      <w:r>
        <w:rPr>
          <w:rFonts w:ascii="Aptos" w:hAnsi="Aptos"/>
          <w:b w:val="0"/>
          <w:i w:val="0"/>
          <w:color w:val="667085"/>
          <w:sz w:val="18"/>
        </w:rPr>
        <w:t>Nr AP/SER/2026/0002  •  Tuchom, 2026-09-28</w:t>
      </w:r>
    </w:p>
    <w:p>
      <w:pPr>
        <w:keepNext/>
        <w:spacing w:before="140" w:after="60"/>
        <w:shd w:fill="C44718"/>
        <w:ind w:left="120" w:right="120"/>
      </w:pPr>
      <w:r>
        <w:rPr>
          <w:rFonts w:ascii="Aptos" w:hAnsi="Aptos"/>
          <w:b/>
          <w:i w:val="0"/>
          <w:color w:val="FFFFFF"/>
          <w:sz w:val="20"/>
        </w:rPr>
        <w:t>1  IDENTYFIKACJA SPRAWY I URZĄDZENIA</w:t>
      </w: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701"/>
        <w:gridCol w:w="3402"/>
        <w:gridCol w:w="1701"/>
        <w:gridCol w:w="3402"/>
      </w:tblGrid>
      <w:tr>
        <w:tc>
          <w:tcPr>
            <w:tcW w:type="dxa" w:w="1701"/>
            <w:shd w:fill="FCE4D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C44718"/>
                <w:sz w:val="17"/>
              </w:rPr>
              <w:t>Data przyjęcia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2026-09-24</w:t>
            </w:r>
          </w:p>
        </w:tc>
        <w:tc>
          <w:tcPr>
            <w:tcW w:type="dxa" w:w="1701"/>
            <w:shd w:fill="FCE4D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C44718"/>
                <w:sz w:val="17"/>
              </w:rPr>
              <w:t>Data naprawy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2026-09-28</w:t>
            </w:r>
          </w:p>
        </w:tc>
      </w:tr>
      <w:tr>
        <w:tc>
          <w:tcPr>
            <w:tcW w:type="dxa" w:w="1701"/>
            <w:shd w:fill="FCE4D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C44718"/>
                <w:sz w:val="17"/>
              </w:rPr>
              <w:t>Klient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Mariusz Pajor</w:t>
            </w:r>
          </w:p>
        </w:tc>
        <w:tc>
          <w:tcPr>
            <w:tcW w:type="dxa" w:w="1701"/>
            <w:shd w:fill="FCE4D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C44718"/>
                <w:sz w:val="17"/>
              </w:rPr>
              <w:t>Kontakt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mariuszpajor@icloud.com, +48 600 756 411</w:t>
            </w:r>
          </w:p>
        </w:tc>
      </w:tr>
      <w:tr>
        <w:tc>
          <w:tcPr>
            <w:tcW w:type="dxa" w:w="1701"/>
            <w:shd w:fill="FCE4D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C44718"/>
                <w:sz w:val="17"/>
              </w:rPr>
              <w:t>Dokument sprzedaży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Partner Allegro</w:t>
            </w:r>
          </w:p>
        </w:tc>
        <w:tc>
          <w:tcPr>
            <w:tcW w:type="dxa" w:w="1701"/>
            <w:shd w:fill="FCE4D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C44718"/>
                <w:sz w:val="17"/>
              </w:rPr>
              <w:t>Nr sprawy/RMA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Zwrot 5678181703</w:t>
            </w:r>
          </w:p>
        </w:tc>
      </w:tr>
      <w:tr>
        <w:tc>
          <w:tcPr>
            <w:tcW w:type="dxa" w:w="1701"/>
            <w:shd w:fill="FCE4D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C44718"/>
                <w:sz w:val="17"/>
              </w:rPr>
              <w:t>Marka / model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Ampere Point Q11</w:t>
            </w:r>
          </w:p>
        </w:tc>
        <w:tc>
          <w:tcPr>
            <w:tcW w:type="dxa" w:w="1701"/>
            <w:shd w:fill="FCE4D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C44718"/>
                <w:sz w:val="17"/>
              </w:rPr>
              <w:t>Nr seryjny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Brak — tabliczka na uchwycie, nie dostarczono</w:t>
            </w:r>
          </w:p>
        </w:tc>
      </w:tr>
      <w:tr>
        <w:tc>
          <w:tcPr>
            <w:tcW w:type="dxa" w:w="1701"/>
            <w:shd w:fill="FCE4D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C44718"/>
                <w:sz w:val="17"/>
              </w:rPr>
              <w:t>Kod produktu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Q11</w:t>
            </w:r>
          </w:p>
        </w:tc>
        <w:tc>
          <w:tcPr>
            <w:tcW w:type="dxa" w:w="1701"/>
            <w:shd w:fill="FCE4D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C44718"/>
                <w:sz w:val="17"/>
              </w:rPr>
              <w:t>Data zakupu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—</w:t>
            </w:r>
          </w:p>
        </w:tc>
      </w:tr>
    </w:tbl>
    <w:p>
      <w:pPr>
        <w:keepNext/>
        <w:spacing w:before="140" w:after="60"/>
        <w:shd w:fill="C44718"/>
        <w:ind w:left="120" w:right="120"/>
      </w:pPr>
      <w:r>
        <w:rPr>
          <w:rFonts w:ascii="Aptos" w:hAnsi="Aptos"/>
          <w:b/>
          <w:i w:val="0"/>
          <w:color w:val="FFFFFF"/>
          <w:sz w:val="20"/>
        </w:rPr>
        <w:t>2  ZGŁOSZENIE I OGLĘDZINY</w:t>
      </w:r>
    </w:p>
    <w:tbl>
      <w:tblPr>
        <w:tblStyle w:val="TableGrid"/>
        <w:tblW w:type="dxa" w:w="10205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0205"/>
      </w:tblGrid>
      <w:tr>
        <w:tc>
          <w:tcPr>
            <w:tcW w:type="dxa" w:w="10205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C44718"/>
                <w:sz w:val="17"/>
              </w:rPr>
              <w:t>Usterka zgłoszona przez klienta</w:t>
            </w:r>
          </w:p>
        </w:tc>
      </w:tr>
      <w:tr>
        <w:tc>
          <w:tcPr>
            <w:tcW w:type="dxa" w:w="102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Podczas ładowania samochodu zadziałało zabezpieczenie w instalacji domowej. Od tego momentu pojazd nie ładuje się również na innych stacjach. Klient prosi o sprawdzenie ładowarki i potwierdzenie, czy działa prawidłowo i nie została uszkodzona.</w:t>
            </w:r>
          </w:p>
        </w:tc>
      </w:tr>
    </w:tbl>
    <w:tbl>
      <w:tblPr>
        <w:tblStyle w:val="TableGrid"/>
        <w:tblW w:type="dxa" w:w="10205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0205"/>
      </w:tblGrid>
      <w:tr>
        <w:tc>
          <w:tcPr>
            <w:tcW w:type="dxa" w:w="10205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C44718"/>
                <w:sz w:val="17"/>
              </w:rPr>
              <w:t>Ustalenia z oględzin</w:t>
            </w:r>
          </w:p>
        </w:tc>
      </w:tr>
      <w:tr>
        <w:tc>
          <w:tcPr>
            <w:tcW w:type="dxa" w:w="102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ListBullet"/>
              <w:spacing w:after="0" w:before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</w: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Po włączeniu komunikat „Overload Reminder” bez podłączonego pojazdu i bez przepływu prądu (fot. 1) — uszkodzony tor pomiaru prądu w układzie sterującym.</w:t>
            </w:r>
          </w:p>
          <w:p>
            <w:pPr>
              <w:pStyle w:val="ListBullet"/>
              <w:spacing w:after="0" w:before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Brak komunikacji z pojazdem — rezystancja kodująca PP we wtyczce poza wartością znormalizowaną; uszkodzona elektronika komunikacji we wtyczce.</w:t>
            </w:r>
          </w:p>
          <w:p>
            <w:pPr>
              <w:pStyle w:val="ListBullet"/>
              <w:spacing w:after="0" w:before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Pozostałe podzespoły bez uszkodzeń.</w:t>
            </w:r>
          </w:p>
        </w:tc>
      </w:tr>
    </w:tbl>
    <w:p>
      <w:pPr>
        <w:keepNext/>
        <w:spacing w:before="140" w:after="60"/>
        <w:shd w:fill="C44718"/>
        <w:ind w:left="120" w:right="120"/>
      </w:pPr>
      <w:r>
        <w:rPr>
          <w:rFonts w:ascii="Aptos" w:hAnsi="Aptos"/>
          <w:b/>
          <w:i w:val="0"/>
          <w:color w:val="FFFFFF"/>
          <w:sz w:val="20"/>
        </w:rPr>
        <w:t>3  DIAGNOZA I KWALIFIKACJA GWARANCYJNA</w:t>
      </w:r>
    </w:p>
    <w:tbl>
      <w:tblPr>
        <w:tblStyle w:val="TableGrid"/>
        <w:tblW w:type="dxa" w:w="10205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0205"/>
      </w:tblGrid>
      <w:tr>
        <w:tc>
          <w:tcPr>
            <w:tcW w:type="dxa" w:w="10205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C44718"/>
                <w:sz w:val="17"/>
              </w:rPr>
              <w:t>Diagnoza techniczna</w:t>
            </w:r>
          </w:p>
        </w:tc>
      </w:tr>
      <w:tr>
        <w:tc>
          <w:tcPr>
            <w:tcW w:type="dxa" w:w="102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Uszkodzenie układu sterującego (tor pomiaru prądu) oraz elektroniki komunikacji we wtyczce. Przyczyna pierwotna nie została ustalona z pewnością. Uszkodzenie obu elementów w jednym zdarzeniu, zadziałanie zabezpieczenia w instalacji domowej oraz brak możliwości ładowania pojazdu także na innych stacjach wskazują na zdarzenie elektryczne w obwodzie ładowania (zwarcie za ładowarką albo przepięcie w sieci zasilającej), którego ładowarka nie wytwarza samodzielnie. Nie stwierdzono w ładowarce wady, która mogłaby być źródłem zdarzenia.</w:t>
            </w:r>
          </w:p>
        </w:tc>
      </w:tr>
    </w:tbl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701"/>
        <w:gridCol w:w="3402"/>
        <w:gridCol w:w="1701"/>
        <w:gridCol w:w="3402"/>
      </w:tblGrid>
      <w:tr>
        <w:tc>
          <w:tcPr>
            <w:tcW w:type="dxa" w:w="1701"/>
            <w:shd w:fill="FCE4D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C44718"/>
                <w:sz w:val="17"/>
              </w:rPr>
              <w:t>Kwalifikacja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Nie dotyczy — naprawa wykonana bezpłatnie</w:t>
            </w:r>
          </w:p>
        </w:tc>
        <w:tc>
          <w:tcPr>
            <w:tcW w:type="dxa" w:w="1701"/>
            <w:shd w:fill="FCE4D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C44718"/>
                <w:sz w:val="17"/>
              </w:rPr>
              <w:t>Decyzja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Naprawa bezpłatna</w:t>
            </w:r>
          </w:p>
        </w:tc>
      </w:tr>
    </w:tbl>
    <w:tbl>
      <w:tblPr>
        <w:tblStyle w:val="TableGrid"/>
        <w:tblW w:type="dxa" w:w="10205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0205"/>
      </w:tblGrid>
      <w:tr>
        <w:tc>
          <w:tcPr>
            <w:tcW w:type="dxa" w:w="10205"/>
            <w:shd w:fill="FFF0E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C44718"/>
                <w:sz w:val="17"/>
              </w:rPr>
              <w:t>Podstawa kwalifikacji</w:t>
            </w:r>
          </w:p>
        </w:tc>
      </w:tr>
      <w:tr>
        <w:tc>
          <w:tcPr>
            <w:tcW w:type="dxa" w:w="102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Naprawę wykonano bezpłatnie; kwalifikacji gwarancyjnej nie rozstrzygano, ponieważ przyczyna pierwotna zdarzenia nie została ustalona.</w:t>
            </w:r>
          </w:p>
        </w:tc>
      </w:tr>
    </w:tbl>
    <w:p>
      <w:pPr>
        <w:keepNext/>
        <w:spacing w:before="140" w:after="60"/>
        <w:shd w:fill="C44718"/>
        <w:ind w:left="120" w:right="120"/>
      </w:pPr>
      <w:r>
        <w:rPr>
          <w:rFonts w:ascii="Aptos" w:hAnsi="Aptos"/>
          <w:b/>
          <w:i w:val="0"/>
          <w:color w:val="FFFFFF"/>
          <w:sz w:val="20"/>
        </w:rPr>
        <w:t>4  WYKONANE CZYNNOŚCI I CZĘŚCI</w:t>
      </w:r>
    </w:p>
    <w:tbl>
      <w:tblPr>
        <w:tblStyle w:val="TableGrid"/>
        <w:tblW w:type="dxa" w:w="10204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680"/>
        <w:gridCol w:w="9524"/>
      </w:tblGrid>
      <w:tr>
        <w:trPr>
          <w:tblHeader w:val="true"/>
        </w:trPr>
        <w:tc>
          <w:tcPr>
            <w:tcW w:type="dxa" w:w="680"/>
            <w:shd w:fill="FCE4D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C44718"/>
                <w:sz w:val="16"/>
              </w:rPr>
              <w:t>Lp.</w:t>
            </w:r>
          </w:p>
        </w:tc>
        <w:tc>
          <w:tcPr>
            <w:tcW w:type="dxa" w:w="9524"/>
            <w:shd w:fill="FCE4D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C44718"/>
                <w:sz w:val="16"/>
              </w:rPr>
              <w:t>Czynność serwisowa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95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Wymiana układu sterującego.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95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Przywrócenie prawidłowej rezystancji kodującej PP we wtyczce.</w:t>
            </w:r>
          </w:p>
        </w:tc>
      </w:tr>
    </w:tbl>
    <w:tbl>
      <w:tblPr>
        <w:tblStyle w:val="TableGrid"/>
        <w:tblW w:type="dxa" w:w="10204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680"/>
        <w:gridCol w:w="5272"/>
        <w:gridCol w:w="1134"/>
        <w:gridCol w:w="3118"/>
      </w:tblGrid>
      <w:tr>
        <w:trPr>
          <w:tblHeader w:val="true"/>
        </w:trPr>
        <w:tc>
          <w:tcPr>
            <w:tcW w:type="dxa" w:w="680"/>
            <w:shd w:fill="FCE4D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C44718"/>
                <w:sz w:val="16"/>
              </w:rPr>
              <w:t>Lp.</w:t>
            </w:r>
          </w:p>
        </w:tc>
        <w:tc>
          <w:tcPr>
            <w:tcW w:type="dxa" w:w="5272"/>
            <w:shd w:fill="FCE4D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C44718"/>
                <w:sz w:val="16"/>
              </w:rPr>
              <w:t>Część / materiał</w:t>
            </w:r>
          </w:p>
        </w:tc>
        <w:tc>
          <w:tcPr>
            <w:tcW w:type="dxa" w:w="1134"/>
            <w:shd w:fill="FCE4D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C44718"/>
                <w:sz w:val="16"/>
              </w:rPr>
              <w:t>Ilość</w:t>
            </w:r>
          </w:p>
        </w:tc>
        <w:tc>
          <w:tcPr>
            <w:tcW w:type="dxa" w:w="3118"/>
            <w:shd w:fill="FCE4D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C44718"/>
                <w:sz w:val="16"/>
              </w:rPr>
              <w:t>Nr / uwagi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5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Układ sterujący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Nowa część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5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Rezystor kodujący PP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680 Ω</w:t>
            </w:r>
          </w:p>
        </w:tc>
      </w:tr>
    </w:tbl>
    <w:p>
      <w:pPr>
        <w:keepNext/>
        <w:spacing w:before="140" w:after="60"/>
        <w:shd w:fill="C44718"/>
        <w:ind w:left="120" w:right="120"/>
      </w:pPr>
      <w:r>
        <w:rPr>
          <w:rFonts w:ascii="Aptos" w:hAnsi="Aptos"/>
          <w:b/>
          <w:i w:val="0"/>
          <w:color w:val="FFFFFF"/>
          <w:sz w:val="20"/>
        </w:rPr>
        <w:t>5  KONTROLA PO NAPRAWIE</w:t>
      </w:r>
    </w:p>
    <w:tbl>
      <w:tblPr>
        <w:tblStyle w:val="TableGrid"/>
        <w:tblW w:type="dxa" w:w="10204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680"/>
        <w:gridCol w:w="4139"/>
        <w:gridCol w:w="3798"/>
        <w:gridCol w:w="1587"/>
      </w:tblGrid>
      <w:tr>
        <w:trPr>
          <w:tblHeader w:val="true"/>
        </w:trPr>
        <w:tc>
          <w:tcPr>
            <w:tcW w:type="dxa" w:w="680"/>
            <w:shd w:fill="FCE4D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C44718"/>
                <w:sz w:val="16"/>
              </w:rPr>
              <w:t>Lp.</w:t>
            </w:r>
          </w:p>
        </w:tc>
        <w:tc>
          <w:tcPr>
            <w:tcW w:type="dxa" w:w="4139"/>
            <w:shd w:fill="FCE4D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C44718"/>
                <w:sz w:val="16"/>
              </w:rPr>
              <w:t>Test / pomiar</w:t>
            </w:r>
          </w:p>
        </w:tc>
        <w:tc>
          <w:tcPr>
            <w:tcW w:type="dxa" w:w="3798"/>
            <w:shd w:fill="FCE4D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C44718"/>
                <w:sz w:val="16"/>
              </w:rPr>
              <w:t>Wynik</w:t>
            </w:r>
          </w:p>
        </w:tc>
        <w:tc>
          <w:tcPr>
            <w:tcW w:type="dxa" w:w="1587"/>
            <w:shd w:fill="FCE4D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C44718"/>
                <w:sz w:val="16"/>
              </w:rPr>
              <w:t>Status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413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Pomiar rezystancji kodującej PP we wtyczce</w:t>
            </w:r>
          </w:p>
        </w:tc>
        <w:tc>
          <w:tcPr>
            <w:tcW w:type="dxa" w:w="37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Wartość prawidłowa, stabilna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PASS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413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Ładowanie pojazdu, 30 min przy 16 A</w:t>
            </w:r>
          </w:p>
        </w:tc>
        <w:tc>
          <w:tcPr>
            <w:tcW w:type="dxa" w:w="37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Sesja zakończona bez błędów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PASS</w:t>
            </w:r>
          </w:p>
        </w:tc>
      </w:tr>
    </w:tbl>
    <w:p>
      <w:pPr>
        <w:keepNext/>
        <w:spacing w:before="140" w:after="60"/>
        <w:shd w:fill="C44718"/>
        <w:ind w:left="120" w:right="120"/>
      </w:pPr>
      <w:r>
        <w:rPr>
          <w:rFonts w:ascii="Aptos" w:hAnsi="Aptos"/>
          <w:b/>
          <w:i w:val="0"/>
          <w:color w:val="FFFFFF"/>
          <w:sz w:val="20"/>
        </w:rPr>
        <w:t>6  WYNIK, ROZLICZENIE I ZALECENIA</w:t>
      </w: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701"/>
        <w:gridCol w:w="3402"/>
        <w:gridCol w:w="1701"/>
        <w:gridCol w:w="3402"/>
      </w:tblGrid>
      <w:tr>
        <w:tc>
          <w:tcPr>
            <w:tcW w:type="dxa" w:w="1701"/>
            <w:shd w:fill="FCE4D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C44718"/>
                <w:sz w:val="17"/>
              </w:rPr>
              <w:t>Stan końcowy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Sprawne po naprawie</w:t>
            </w:r>
          </w:p>
        </w:tc>
        <w:tc>
          <w:tcPr>
            <w:tcW w:type="dxa" w:w="1701"/>
            <w:shd w:fill="FCE4D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C44718"/>
                <w:sz w:val="17"/>
              </w:rPr>
              <w:t>Data wydania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2026-09-28</w:t>
            </w:r>
          </w:p>
        </w:tc>
      </w:tr>
      <w:tr>
        <w:tc>
          <w:tcPr>
            <w:tcW w:type="dxa" w:w="1701"/>
            <w:shd w:fill="FCE4D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C44718"/>
                <w:sz w:val="17"/>
              </w:rPr>
              <w:t>Rozliczenie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Naprawa bezpłatna</w:t>
            </w:r>
          </w:p>
        </w:tc>
        <w:tc>
          <w:tcPr>
            <w:tcW w:type="dxa" w:w="1701"/>
            <w:shd w:fill="FCE4D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C44718"/>
                <w:sz w:val="17"/>
              </w:rPr>
              <w:t>Razem brutto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0,00 PLN</w:t>
            </w:r>
          </w:p>
        </w:tc>
      </w:tr>
    </w:tbl>
    <w:tbl>
      <w:tblPr>
        <w:tblStyle w:val="TableGrid"/>
        <w:tblW w:type="dxa" w:w="10205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0205"/>
      </w:tblGrid>
      <w:tr>
        <w:tc>
          <w:tcPr>
            <w:tcW w:type="dxa" w:w="10205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C44718"/>
                <w:sz w:val="17"/>
              </w:rPr>
              <w:t>Zalecenia dla użytkownika</w:t>
            </w:r>
          </w:p>
        </w:tc>
      </w:tr>
      <w:tr>
        <w:tc>
          <w:tcPr>
            <w:tcW w:type="dxa" w:w="102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Przed ponownym ładowaniem w domu zalecamy, aby elektryk sprawdził obwód zasilający ładowarkę i przyczynę zadziałania zabezpieczenia.</w:t>
            </w:r>
          </w:p>
        </w:tc>
      </w:tr>
    </w:tbl>
    <w:tbl>
      <w:tblPr>
        <w:tblStyle w:val="TableGrid"/>
        <w:tblW w:type="dxa" w:w="10205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0205"/>
      </w:tblGrid>
      <w:tr>
        <w:tc>
          <w:tcPr>
            <w:tcW w:type="dxa" w:w="10205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C44718"/>
                <w:sz w:val="17"/>
              </w:rPr>
              <w:t>Załączniki / dowody</w:t>
            </w:r>
          </w:p>
        </w:tc>
      </w:tr>
      <w:tr>
        <w:tc>
          <w:tcPr>
            <w:tcW w:type="dxa" w:w="102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ListBullet"/>
              <w:spacing w:after="0" w:before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</w: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Zgłoszenie zwrotu 5678181703</w:t>
            </w:r>
          </w:p>
          <w:p>
            <w:pPr>
              <w:pStyle w:val="ListBullet"/>
              <w:spacing w:after="0" w:before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Załącznik A — dokumentacja zdjęciowa (1 fot.)</w:t>
            </w:r>
          </w:p>
        </w:tc>
      </w:tr>
    </w:tbl>
    <w:p>
      <w:pPr>
        <w:keepNext/>
        <w:spacing w:before="140" w:after="60"/>
        <w:shd w:fill="C44718"/>
        <w:ind w:left="120" w:right="120"/>
      </w:pPr>
      <w:r>
        <w:rPr>
          <w:rFonts w:ascii="Aptos" w:hAnsi="Aptos"/>
          <w:b/>
          <w:i w:val="0"/>
          <w:color w:val="FFFFFF"/>
          <w:sz w:val="20"/>
        </w:rPr>
        <w:t>7  POTWIERDZENIE</w:t>
      </w:r>
    </w:p>
    <w:p>
      <w:pPr>
        <w:spacing w:after="100"/>
      </w:pPr>
      <w:r>
        <w:rPr>
          <w:rFonts w:ascii="Aptos" w:hAnsi="Aptos"/>
          <w:b w:val="0"/>
          <w:i w:val="0"/>
          <w:color w:val="667085"/>
          <w:sz w:val="16"/>
        </w:rPr>
        <w:t>Serwisant potwierdza zgodność powyższego opisu z wykonanymi oględzinami, czynnościami i testami. Podpis klienta potwierdza odbiór dokumentu lub urządzenia, a nie zrzeczenie się ustawowych praw.</w:t>
      </w:r>
    </w:p>
    <w:tbl>
      <w:tblPr>
        <w:tblStyle w:val="TableGrid"/>
        <w:tblW w:type="dxa" w:w="10204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5102"/>
        <w:gridCol w:w="5102"/>
      </w:tblGrid>
      <w:tr>
        <w:tc>
          <w:tcPr>
            <w:tcW w:type="dxa" w:w="5102"/>
            <w:shd w:fill="FCE4D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C44718"/>
                <w:sz w:val="17"/>
              </w:rPr>
              <w:t>Serwisant</w:t>
            </w:r>
          </w:p>
        </w:tc>
        <w:tc>
          <w:tcPr>
            <w:tcW w:type="dxa" w:w="5102"/>
            <w:shd w:fill="FCE4D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C44718"/>
                <w:sz w:val="17"/>
              </w:rPr>
              <w:t>Klient / osoba odbierająca</w:t>
            </w:r>
          </w:p>
        </w:tc>
      </w:tr>
      <w:tr>
        <w:tc>
          <w:tcPr>
            <w:tcW w:type="dxa" w:w="51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Dawid Cekała</w:t>
              <w:br/>
              <w:br/>
              <w:t>Data i podpis: __________________________________</w:t>
            </w:r>
          </w:p>
        </w:tc>
        <w:tc>
          <w:tcPr>
            <w:tcW w:type="dxa" w:w="51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Mariusz Pajor</w:t>
              <w:br/>
              <w:br/>
              <w:t>Data i podpis: __________________________________</w:t>
            </w:r>
          </w:p>
        </w:tc>
      </w:tr>
    </w:tbl>
    <w:p>
      <w:r>
        <w:br w:type="page"/>
      </w:r>
    </w:p>
    <w:p>
      <w:pPr>
        <w:keepNext/>
        <w:spacing w:before="140" w:after="60"/>
        <w:shd w:fill="C44718"/>
        <w:ind w:left="120" w:right="120"/>
      </w:pPr>
      <w:r>
        <w:rPr>
          <w:rFonts w:ascii="Aptos" w:hAnsi="Aptos"/>
          <w:b/>
          <w:i w:val="0"/>
          <w:color w:val="FFFFFF"/>
          <w:sz w:val="20"/>
        </w:rPr>
        <w:t>A  ZAŁĄCZNIK — DOKUMENTACJA ZDJĘCIOWA</w:t>
      </w:r>
    </w:p>
    <w:p>
      <w:pPr>
        <w:spacing w:after="100"/>
      </w:pPr>
      <w:r>
        <w:rPr>
          <w:rFonts w:ascii="Aptos" w:hAnsi="Aptos"/>
          <w:b w:val="0"/>
          <w:i w:val="0"/>
          <w:color w:val="667085"/>
          <w:sz w:val="16"/>
        </w:rPr>
        <w:t>Zdjęcia wykonane przez serwis w trakcie oględzin i naprawy. Numeracja odpowiada kolejności czynności.</w:t>
      </w:r>
    </w:p>
    <w:tbl>
      <w:tblPr>
        <w:tblStyle w:val="TableGrid"/>
        <w:tblW w:type="dxa" w:w="10204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5102"/>
        <w:gridCol w:w="5102"/>
      </w:tblGrid>
      <w:tr>
        <w:tc>
          <w:tcPr>
            <w:tcW w:type="dxa" w:w="10204"/>
            <w:gridSpan w:val="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096000" cy="3096000"/>
                  <wp:docPr id="1" name="Picture 1" title="Fot. 1" descr="Stan przy przyjęciu: komunikat „Overload Reminder” na wyświetlaczu bez podłączonego pojazdu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000" cy="30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C44718"/>
                <w:sz w:val="16"/>
              </w:rPr>
              <w:t xml:space="preserve">Fot. 1. </w:t>
            </w: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Stan przy przyjęciu: komunikat „Overload Reminder” na wyświetlaczu bez podłączonego pojazdu.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020" w:right="850" w:bottom="765" w:left="850" w:header="142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67085"/>
        <w:sz w:val="14"/>
      </w:rPr>
      <w:t>Dokument techniczny. Kwalifikacja gwarancyjna wymaga podstawy właściwej dla konkretnej sprawy.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10205"/>
      <w:jc w:val="center"/>
      <w:tblLayout w:type="fixed"/>
      <w:tblLook w:firstColumn="1" w:firstRow="1" w:lastColumn="0" w:lastRow="0" w:noHBand="0" w:noVBand="1" w:val="04A0"/>
      <w:tblInd w:w="0" w:type="dxa"/>
    </w:tblPr>
    <w:tblGrid>
      <w:gridCol w:w="3402"/>
      <w:gridCol w:w="6803"/>
    </w:tblGrid>
    <w:tr>
      <w:tc>
        <w:tcPr>
          <w:tcW w:type="dxa" w:w="3402"/>
          <w:vAlign w:val="center"/>
          <w:tcMar>
            <w:top w:w="30" w:type="dxa"/>
            <w:start w:w="80" w:type="dxa"/>
            <w:bottom w:w="30" w:type="dxa"/>
            <w:end w:w="80" w:type="dxa"/>
          </w:tcMar>
          <w:tcBorders>
            <w:bottom w:val="single" w:sz="8" w:color="EB5A29"/>
          </w:tcBorders>
        </w:tcPr>
        <w:p>
          <w:pPr>
            <w:spacing w:before="0" w:after="0"/>
            <w:jc w:val="left"/>
          </w:pPr>
          <w:r/>
          <w:r>
            <w:drawing>
              <wp:inline xmlns:a="http://schemas.openxmlformats.org/drawingml/2006/main" xmlns:pic="http://schemas.openxmlformats.org/drawingml/2006/picture">
                <wp:extent cx="1152000" cy="555550"/>
                <wp:docPr id="1" name="Picture 1" title="Ampere Point" descr="Logo Ampere Point - Smart Charging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ampere_point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2000" cy="55555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803"/>
          <w:vAlign w:val="center"/>
          <w:tcMar>
            <w:top w:w="90" w:type="dxa"/>
            <w:start w:w="120" w:type="dxa"/>
            <w:bottom w:w="90" w:type="dxa"/>
            <w:end w:w="120" w:type="dxa"/>
          </w:tcMar>
          <w:tcBorders>
            <w:bottom w:val="single" w:sz="8" w:color="EB5A29"/>
          </w:tcBorders>
        </w:tcPr>
        <w:p>
          <w:pPr>
            <w:spacing w:before="0" w:after="0" w:line="252" w:lineRule="auto"/>
            <w:jc w:val="right"/>
          </w:pPr>
          <w:r>
            <w:rPr>
              <w:rFonts w:ascii="Aptos" w:hAnsi="Aptos"/>
              <w:b/>
              <w:i w:val="0"/>
              <w:color w:val="C44718"/>
              <w:sz w:val="16"/>
            </w:rPr>
            <w:t>PROTOKÓŁ NAPRAWY  |  AP/SER/2026/0002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30" w:line="252" w:lineRule="auto"/>
      <w:ind w:left="312" w:hanging="170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30" w:line="252" w:lineRule="auto"/>
      <w:ind w:left="312" w:hanging="170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Protokół naprawy AP/SER/2026/0002</dc:title>
  <dc:subject>Protokół z oględzin i naprawy</dc:subject>
  <dc:creator>Maxima Trading sp. z o.o. sp. k. / Ampere Point</dc:creator>
  <cp:keywords>serwis, naprawa, protokół</cp:keywords>
  <dc:description>Dokument wygenerowany automatycznie na podstawie danych JSON.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