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Block 1 Launch: The Retrieval Experiment Kit</w:t>
      </w:r>
    </w:p>
    <w:p>
      <w:pPr>
        <w:spacing w:after="100"/>
      </w:pPr>
      <w:r>
        <w:rPr>
          <w:i/>
          <w:iCs/>
          <w:color w:val="666666"/>
          <w:sz w:val="18"/>
          <w:szCs w:val="18"/>
        </w:rPr>
        <w:t xml:space="preserve">AP Theme Charts / Spiral Studio launch — run in Block 1, delayed test in Block 4. Total class time: ~15 minutes in Block 1, ~8 minutes in Block 4.</w:t>
      </w:r>
    </w:p>
    <w:p>
      <w:pPr>
        <w:spacing w:after="100"/>
      </w:pPr>
      <w:r>
        <w:t xml:space="preserve">Why this matters: the whole year runs on retrieval practice, and students will not believe that testing themselves beats rereading until they see it in their own data. This 15-minute experiment buys a year of buy-in. Do not skip the prediction step — being wrong about themselves is the lesson.</w:t>
      </w:r>
    </w:p>
    <w:p>
      <w:pPr>
        <w:pStyle w:val="Heading2"/>
      </w:pPr>
      <w:r>
        <w:t xml:space="preserve">Materials</w:t>
      </w:r>
    </w:p>
    <w:p>
      <w:pPr>
        <w:pStyle w:val="ListParagraph"/>
        <w:numPr>
          <w:ilvl w:val="0"/>
          <w:numId w:val="2"/>
        </w:numPr>
        <w:spacing w:after="60"/>
      </w:pPr>
      <w:r>
        <w:t xml:space="preserve">List A and List B term sheets (below) — print or project. The lists are matched: 8 unfamiliar world-history terms each, similar length and difficulty.</w:t>
      </w:r>
    </w:p>
    <w:p>
      <w:pPr>
        <w:pStyle w:val="ListParagraph"/>
        <w:numPr>
          <w:ilvl w:val="0"/>
          <w:numId w:val="2"/>
        </w:numPr>
        <w:spacing w:after="60"/>
      </w:pPr>
      <w:r>
        <w:t xml:space="preserve">Prediction slips (half sheet): "Which list will you remember better in 3 days, and by how much?"</w:t>
      </w:r>
    </w:p>
    <w:p>
      <w:pPr>
        <w:pStyle w:val="ListParagraph"/>
        <w:numPr>
          <w:ilvl w:val="0"/>
          <w:numId w:val="2"/>
        </w:numPr>
        <w:spacing w:after="60"/>
      </w:pPr>
      <w:r>
        <w:t xml:space="preserve">The delayed test (below) — hold until Block 4. Do not announce that a test is coming beyond "we’ll come back to these."</w:t>
      </w:r>
    </w:p>
    <w:p>
      <w:pPr>
        <w:pStyle w:val="Heading2"/>
      </w:pPr>
      <w:r>
        <w:t xml:space="preserve">Block 1 procedure (~15 min)</w:t>
      </w:r>
    </w:p>
    <w:p>
      <w:pPr>
        <w:pStyle w:val="ListParagraph"/>
        <w:numPr>
          <w:ilvl w:val="0"/>
          <w:numId w:val="3"/>
        </w:numPr>
        <w:spacing w:after="60"/>
      </w:pPr>
      <w:r>
        <w:t xml:space="preserve">Frame it (1 min): "We’re going to learn two small lists two different ways. In a few days we’ll see which way worked. This is about how YOUR memory works, not a grade."</w:t>
      </w:r>
    </w:p>
    <w:p>
      <w:pPr>
        <w:pStyle w:val="ListParagraph"/>
        <w:numPr>
          <w:ilvl w:val="0"/>
          <w:numId w:val="3"/>
        </w:numPr>
        <w:spacing w:after="60"/>
      </w:pPr>
      <w:r>
        <w:t xml:space="preserve">Condition 1 — STUDY × 2 (4 min): Show List A. Students read and reread silently for 2 minutes. Take it away for 30 seconds. Show it again for another 90 seconds of rereading.</w:t>
      </w:r>
    </w:p>
    <w:p>
      <w:pPr>
        <w:pStyle w:val="ListParagraph"/>
        <w:numPr>
          <w:ilvl w:val="0"/>
          <w:numId w:val="3"/>
        </w:numPr>
        <w:spacing w:after="60"/>
      </w:pPr>
      <w:r>
        <w:t xml:space="preserve">Condition 2 — STUDY then TEST (4 min): Show List B for 2 minutes. Take it away. Students write every term and meaning they can recall from memory for 2 minutes (no peeking, no grading). Do not show the list again.</w:t>
      </w:r>
    </w:p>
    <w:p>
      <w:pPr>
        <w:pStyle w:val="ListParagraph"/>
        <w:numPr>
          <w:ilvl w:val="0"/>
          <w:numId w:val="3"/>
        </w:numPr>
        <w:spacing w:after="60"/>
      </w:pPr>
      <w:r>
        <w:t xml:space="preserve">Predict (2 min): On the slip: "Which list will you remember better on the delayed test — A (studied twice) or B (studied once, tested once)? Predict your score on each out of 8." Collect the slips.</w:t>
      </w:r>
    </w:p>
    <w:p>
      <w:pPr>
        <w:pStyle w:val="ListParagraph"/>
        <w:numPr>
          <w:ilvl w:val="0"/>
          <w:numId w:val="3"/>
        </w:numPr>
        <w:spacing w:after="60"/>
      </w:pPr>
      <w:r>
        <w:t xml:space="preserve">Say nothing else. Change the subject. The gap before the test is the point.</w:t>
      </w:r>
    </w:p>
    <w:p>
      <w:pPr>
        <w:pStyle w:val="Heading2"/>
      </w:pPr>
      <w:r>
        <w:t xml:space="preserve">List A — study twice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shd w:fill="E8EDF7" w:val="clear"/>
            <w:tcMar>
              <w:top w:type="dxa" w:w="60"/>
              <w:left w:type="dxa" w:w="100"/>
              <w:bottom w:type="dxa" w:w="60"/>
              <w:right w:type="dxa" w:w="100"/>
            </w:tcMar>
          </w:tcPr>
          <w:p>
            <w:r>
              <w:rPr>
                <w:b/>
                <w:bCs/>
                <w:sz w:val="20"/>
                <w:szCs w:val="20"/>
              </w:rPr>
              <w:t xml:space="preserve">Term</w:t>
            </w:r>
          </w:p>
        </w:tc>
        <w:tc>
          <w:tcPr>
            <w:tcW w:type="dxa" w:w="7500"/>
            <w:shd w:fill="E8EDF7" w:val="clear"/>
            <w:tcMar>
              <w:top w:type="dxa" w:w="60"/>
              <w:left w:type="dxa" w:w="100"/>
              <w:bottom w:type="dxa" w:w="60"/>
              <w:right w:type="dxa" w:w="100"/>
            </w:tcMar>
          </w:tcPr>
          <w:p>
            <w:r>
              <w:rPr>
                <w:b/>
                <w:bCs/>
                <w:sz w:val="20"/>
                <w:szCs w:val="20"/>
              </w:rPr>
              <w:t xml:space="preserve">Meaning</w:t>
            </w:r>
          </w:p>
        </w:tc>
      </w:tr>
      <w:tr>
        <w:tc>
          <w:tcPr>
            <w:tcW w:type="dxa" w:w="2200"/>
            <w:tcMar>
              <w:top w:type="dxa" w:w="60"/>
              <w:left w:type="dxa" w:w="100"/>
              <w:bottom w:type="dxa" w:w="60"/>
              <w:right w:type="dxa" w:w="100"/>
            </w:tcMar>
          </w:tcPr>
          <w:p>
            <w:r>
              <w:rPr>
                <w:b w:val="false"/>
                <w:bCs w:val="false"/>
                <w:sz w:val="20"/>
                <w:szCs w:val="20"/>
              </w:rPr>
              <w:t xml:space="preserve">griot</w:t>
            </w:r>
          </w:p>
        </w:tc>
        <w:tc>
          <w:tcPr>
            <w:tcW w:type="dxa" w:w="7500"/>
            <w:tcMar>
              <w:top w:type="dxa" w:w="60"/>
              <w:left w:type="dxa" w:w="100"/>
              <w:bottom w:type="dxa" w:w="60"/>
              <w:right w:type="dxa" w:w="100"/>
            </w:tcMar>
          </w:tcPr>
          <w:p>
            <w:r>
              <w:rPr>
                <w:b w:val="false"/>
                <w:bCs w:val="false"/>
                <w:sz w:val="20"/>
                <w:szCs w:val="20"/>
              </w:rPr>
              <w:t xml:space="preserve">a West African storyteller who preserves oral history</w:t>
            </w:r>
          </w:p>
        </w:tc>
      </w:tr>
      <w:tr>
        <w:tc>
          <w:tcPr>
            <w:tcW w:type="dxa" w:w="2200"/>
            <w:tcMar>
              <w:top w:type="dxa" w:w="60"/>
              <w:left w:type="dxa" w:w="100"/>
              <w:bottom w:type="dxa" w:w="60"/>
              <w:right w:type="dxa" w:w="100"/>
            </w:tcMar>
          </w:tcPr>
          <w:p>
            <w:r>
              <w:rPr>
                <w:b w:val="false"/>
                <w:bCs w:val="false"/>
                <w:sz w:val="20"/>
                <w:szCs w:val="20"/>
              </w:rPr>
              <w:t xml:space="preserve">ger</w:t>
            </w:r>
          </w:p>
        </w:tc>
        <w:tc>
          <w:tcPr>
            <w:tcW w:type="dxa" w:w="7500"/>
            <w:tcMar>
              <w:top w:type="dxa" w:w="60"/>
              <w:left w:type="dxa" w:w="100"/>
              <w:bottom w:type="dxa" w:w="60"/>
              <w:right w:type="dxa" w:w="100"/>
            </w:tcMar>
          </w:tcPr>
          <w:p>
            <w:r>
              <w:rPr>
                <w:b w:val="false"/>
                <w:bCs w:val="false"/>
                <w:sz w:val="20"/>
                <w:szCs w:val="20"/>
              </w:rPr>
              <w:t xml:space="preserve">a portable felt tent used by Mongol nomads</w:t>
            </w:r>
          </w:p>
        </w:tc>
      </w:tr>
      <w:tr>
        <w:tc>
          <w:tcPr>
            <w:tcW w:type="dxa" w:w="2200"/>
            <w:tcMar>
              <w:top w:type="dxa" w:w="60"/>
              <w:left w:type="dxa" w:w="100"/>
              <w:bottom w:type="dxa" w:w="60"/>
              <w:right w:type="dxa" w:w="100"/>
            </w:tcMar>
          </w:tcPr>
          <w:p>
            <w:r>
              <w:rPr>
                <w:b w:val="false"/>
                <w:bCs w:val="false"/>
                <w:sz w:val="20"/>
                <w:szCs w:val="20"/>
              </w:rPr>
              <w:t xml:space="preserve">dhow</w:t>
            </w:r>
          </w:p>
        </w:tc>
        <w:tc>
          <w:tcPr>
            <w:tcW w:type="dxa" w:w="7500"/>
            <w:tcMar>
              <w:top w:type="dxa" w:w="60"/>
              <w:left w:type="dxa" w:w="100"/>
              <w:bottom w:type="dxa" w:w="60"/>
              <w:right w:type="dxa" w:w="100"/>
            </w:tcMar>
          </w:tcPr>
          <w:p>
            <w:r>
              <w:rPr>
                <w:b w:val="false"/>
                <w:bCs w:val="false"/>
                <w:sz w:val="20"/>
                <w:szCs w:val="20"/>
              </w:rPr>
              <w:t xml:space="preserve">a lateen-sailed ship used in Indian Ocean trade</w:t>
            </w:r>
          </w:p>
        </w:tc>
      </w:tr>
      <w:tr>
        <w:tc>
          <w:tcPr>
            <w:tcW w:type="dxa" w:w="2200"/>
            <w:tcMar>
              <w:top w:type="dxa" w:w="60"/>
              <w:left w:type="dxa" w:w="100"/>
              <w:bottom w:type="dxa" w:w="60"/>
              <w:right w:type="dxa" w:w="100"/>
            </w:tcMar>
          </w:tcPr>
          <w:p>
            <w:r>
              <w:rPr>
                <w:b w:val="false"/>
                <w:bCs w:val="false"/>
                <w:sz w:val="20"/>
                <w:szCs w:val="20"/>
              </w:rPr>
              <w:t xml:space="preserve">quipu</w:t>
            </w:r>
          </w:p>
        </w:tc>
        <w:tc>
          <w:tcPr>
            <w:tcW w:type="dxa" w:w="7500"/>
            <w:tcMar>
              <w:top w:type="dxa" w:w="60"/>
              <w:left w:type="dxa" w:w="100"/>
              <w:bottom w:type="dxa" w:w="60"/>
              <w:right w:type="dxa" w:w="100"/>
            </w:tcMar>
          </w:tcPr>
          <w:p>
            <w:r>
              <w:rPr>
                <w:b w:val="false"/>
                <w:bCs w:val="false"/>
                <w:sz w:val="20"/>
                <w:szCs w:val="20"/>
              </w:rPr>
              <w:t xml:space="preserve">knotted cords the Inca used to record information</w:t>
            </w:r>
          </w:p>
        </w:tc>
      </w:tr>
      <w:tr>
        <w:tc>
          <w:tcPr>
            <w:tcW w:type="dxa" w:w="2200"/>
            <w:tcMar>
              <w:top w:type="dxa" w:w="60"/>
              <w:left w:type="dxa" w:w="100"/>
              <w:bottom w:type="dxa" w:w="60"/>
              <w:right w:type="dxa" w:w="100"/>
            </w:tcMar>
          </w:tcPr>
          <w:p>
            <w:r>
              <w:rPr>
                <w:b w:val="false"/>
                <w:bCs w:val="false"/>
                <w:sz w:val="20"/>
                <w:szCs w:val="20"/>
              </w:rPr>
              <w:t xml:space="preserve">ulama</w:t>
            </w:r>
          </w:p>
        </w:tc>
        <w:tc>
          <w:tcPr>
            <w:tcW w:type="dxa" w:w="7500"/>
            <w:tcMar>
              <w:top w:type="dxa" w:w="60"/>
              <w:left w:type="dxa" w:w="100"/>
              <w:bottom w:type="dxa" w:w="60"/>
              <w:right w:type="dxa" w:w="100"/>
            </w:tcMar>
          </w:tcPr>
          <w:p>
            <w:r>
              <w:rPr>
                <w:b w:val="false"/>
                <w:bCs w:val="false"/>
                <w:sz w:val="20"/>
                <w:szCs w:val="20"/>
              </w:rPr>
              <w:t xml:space="preserve">scholars of Islamic law and religion</w:t>
            </w:r>
          </w:p>
        </w:tc>
      </w:tr>
      <w:tr>
        <w:tc>
          <w:tcPr>
            <w:tcW w:type="dxa" w:w="2200"/>
            <w:tcMar>
              <w:top w:type="dxa" w:w="60"/>
              <w:left w:type="dxa" w:w="100"/>
              <w:bottom w:type="dxa" w:w="60"/>
              <w:right w:type="dxa" w:w="100"/>
            </w:tcMar>
          </w:tcPr>
          <w:p>
            <w:r>
              <w:rPr>
                <w:b w:val="false"/>
                <w:bCs w:val="false"/>
                <w:sz w:val="20"/>
                <w:szCs w:val="20"/>
              </w:rPr>
              <w:t xml:space="preserve">chinampa</w:t>
            </w:r>
          </w:p>
        </w:tc>
        <w:tc>
          <w:tcPr>
            <w:tcW w:type="dxa" w:w="7500"/>
            <w:tcMar>
              <w:top w:type="dxa" w:w="60"/>
              <w:left w:type="dxa" w:w="100"/>
              <w:bottom w:type="dxa" w:w="60"/>
              <w:right w:type="dxa" w:w="100"/>
            </w:tcMar>
          </w:tcPr>
          <w:p>
            <w:r>
              <w:rPr>
                <w:b w:val="false"/>
                <w:bCs w:val="false"/>
                <w:sz w:val="20"/>
                <w:szCs w:val="20"/>
              </w:rPr>
              <w:t xml:space="preserve">a raised farming bed built on a lake by the Aztecs</w:t>
            </w:r>
          </w:p>
        </w:tc>
      </w:tr>
      <w:tr>
        <w:tc>
          <w:tcPr>
            <w:tcW w:type="dxa" w:w="2200"/>
            <w:tcMar>
              <w:top w:type="dxa" w:w="60"/>
              <w:left w:type="dxa" w:w="100"/>
              <w:bottom w:type="dxa" w:w="60"/>
              <w:right w:type="dxa" w:w="100"/>
            </w:tcMar>
          </w:tcPr>
          <w:p>
            <w:r>
              <w:rPr>
                <w:b w:val="false"/>
                <w:bCs w:val="false"/>
                <w:sz w:val="20"/>
                <w:szCs w:val="20"/>
              </w:rPr>
              <w:t xml:space="preserve">madrasa</w:t>
            </w:r>
          </w:p>
        </w:tc>
        <w:tc>
          <w:tcPr>
            <w:tcW w:type="dxa" w:w="7500"/>
            <w:tcMar>
              <w:top w:type="dxa" w:w="60"/>
              <w:left w:type="dxa" w:w="100"/>
              <w:bottom w:type="dxa" w:w="60"/>
              <w:right w:type="dxa" w:w="100"/>
            </w:tcMar>
          </w:tcPr>
          <w:p>
            <w:r>
              <w:rPr>
                <w:b w:val="false"/>
                <w:bCs w:val="false"/>
                <w:sz w:val="20"/>
                <w:szCs w:val="20"/>
              </w:rPr>
              <w:t xml:space="preserve">an Islamic school of higher learning</w:t>
            </w:r>
          </w:p>
        </w:tc>
      </w:tr>
      <w:tr>
        <w:tc>
          <w:tcPr>
            <w:tcW w:type="dxa" w:w="2200"/>
            <w:tcMar>
              <w:top w:type="dxa" w:w="60"/>
              <w:left w:type="dxa" w:w="100"/>
              <w:bottom w:type="dxa" w:w="60"/>
              <w:right w:type="dxa" w:w="100"/>
            </w:tcMar>
          </w:tcPr>
          <w:p>
            <w:r>
              <w:rPr>
                <w:b w:val="false"/>
                <w:bCs w:val="false"/>
                <w:sz w:val="20"/>
                <w:szCs w:val="20"/>
              </w:rPr>
              <w:t xml:space="preserve">junk</w:t>
            </w:r>
          </w:p>
        </w:tc>
        <w:tc>
          <w:tcPr>
            <w:tcW w:type="dxa" w:w="7500"/>
            <w:tcMar>
              <w:top w:type="dxa" w:w="60"/>
              <w:left w:type="dxa" w:w="100"/>
              <w:bottom w:type="dxa" w:w="60"/>
              <w:right w:type="dxa" w:w="100"/>
            </w:tcMar>
          </w:tcPr>
          <w:p>
            <w:r>
              <w:rPr>
                <w:b w:val="false"/>
                <w:bCs w:val="false"/>
                <w:sz w:val="20"/>
                <w:szCs w:val="20"/>
              </w:rPr>
              <w:t xml:space="preserve">a large Chinese ocean-going trading ship</w:t>
            </w:r>
          </w:p>
        </w:tc>
      </w:tr>
    </w:tbl>
    <w:p>
      <w:pPr>
        <w:pStyle w:val="Heading2"/>
      </w:pPr>
      <w:r>
        <w:t xml:space="preserve">List B — study once, then recall from memory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shd w:fill="E8EDF7" w:val="clear"/>
            <w:tcMar>
              <w:top w:type="dxa" w:w="60"/>
              <w:left w:type="dxa" w:w="100"/>
              <w:bottom w:type="dxa" w:w="60"/>
              <w:right w:type="dxa" w:w="100"/>
            </w:tcMar>
          </w:tcPr>
          <w:p>
            <w:r>
              <w:rPr>
                <w:b/>
                <w:bCs/>
                <w:sz w:val="20"/>
                <w:szCs w:val="20"/>
              </w:rPr>
              <w:t xml:space="preserve">Term</w:t>
            </w:r>
          </w:p>
        </w:tc>
        <w:tc>
          <w:tcPr>
            <w:tcW w:type="dxa" w:w="7500"/>
            <w:shd w:fill="E8EDF7" w:val="clear"/>
            <w:tcMar>
              <w:top w:type="dxa" w:w="60"/>
              <w:left w:type="dxa" w:w="100"/>
              <w:bottom w:type="dxa" w:w="60"/>
              <w:right w:type="dxa" w:w="100"/>
            </w:tcMar>
          </w:tcPr>
          <w:p>
            <w:r>
              <w:rPr>
                <w:b/>
                <w:bCs/>
                <w:sz w:val="20"/>
                <w:szCs w:val="20"/>
              </w:rPr>
              <w:t xml:space="preserve">Meaning</w:t>
            </w:r>
          </w:p>
        </w:tc>
      </w:tr>
      <w:tr>
        <w:tc>
          <w:tcPr>
            <w:tcW w:type="dxa" w:w="2200"/>
            <w:tcMar>
              <w:top w:type="dxa" w:w="60"/>
              <w:left w:type="dxa" w:w="100"/>
              <w:bottom w:type="dxa" w:w="60"/>
              <w:right w:type="dxa" w:w="100"/>
            </w:tcMar>
          </w:tcPr>
          <w:p>
            <w:r>
              <w:rPr>
                <w:b w:val="false"/>
                <w:bCs w:val="false"/>
                <w:sz w:val="20"/>
                <w:szCs w:val="20"/>
              </w:rPr>
              <w:t xml:space="preserve">ayllu</w:t>
            </w:r>
          </w:p>
        </w:tc>
        <w:tc>
          <w:tcPr>
            <w:tcW w:type="dxa" w:w="7500"/>
            <w:tcMar>
              <w:top w:type="dxa" w:w="60"/>
              <w:left w:type="dxa" w:w="100"/>
              <w:bottom w:type="dxa" w:w="60"/>
              <w:right w:type="dxa" w:w="100"/>
            </w:tcMar>
          </w:tcPr>
          <w:p>
            <w:r>
              <w:rPr>
                <w:b w:val="false"/>
                <w:bCs w:val="false"/>
                <w:sz w:val="20"/>
                <w:szCs w:val="20"/>
              </w:rPr>
              <w:t xml:space="preserve">an Andean kinship group that shared land and labor</w:t>
            </w:r>
          </w:p>
        </w:tc>
      </w:tr>
      <w:tr>
        <w:tc>
          <w:tcPr>
            <w:tcW w:type="dxa" w:w="2200"/>
            <w:tcMar>
              <w:top w:type="dxa" w:w="60"/>
              <w:left w:type="dxa" w:w="100"/>
              <w:bottom w:type="dxa" w:w="60"/>
              <w:right w:type="dxa" w:w="100"/>
            </w:tcMar>
          </w:tcPr>
          <w:p>
            <w:r>
              <w:rPr>
                <w:b w:val="false"/>
                <w:bCs w:val="false"/>
                <w:sz w:val="20"/>
                <w:szCs w:val="20"/>
              </w:rPr>
              <w:t xml:space="preserve">caravanserai</w:t>
            </w:r>
          </w:p>
        </w:tc>
        <w:tc>
          <w:tcPr>
            <w:tcW w:type="dxa" w:w="7500"/>
            <w:tcMar>
              <w:top w:type="dxa" w:w="60"/>
              <w:left w:type="dxa" w:w="100"/>
              <w:bottom w:type="dxa" w:w="60"/>
              <w:right w:type="dxa" w:w="100"/>
            </w:tcMar>
          </w:tcPr>
          <w:p>
            <w:r>
              <w:rPr>
                <w:b w:val="false"/>
                <w:bCs w:val="false"/>
                <w:sz w:val="20"/>
                <w:szCs w:val="20"/>
              </w:rPr>
              <w:t xml:space="preserve">a roadside inn for Silk Road merchants</w:t>
            </w:r>
          </w:p>
        </w:tc>
      </w:tr>
      <w:tr>
        <w:tc>
          <w:tcPr>
            <w:tcW w:type="dxa" w:w="2200"/>
            <w:tcMar>
              <w:top w:type="dxa" w:w="60"/>
              <w:left w:type="dxa" w:w="100"/>
              <w:bottom w:type="dxa" w:w="60"/>
              <w:right w:type="dxa" w:w="100"/>
            </w:tcMar>
          </w:tcPr>
          <w:p>
            <w:r>
              <w:rPr>
                <w:b w:val="false"/>
                <w:bCs w:val="false"/>
                <w:sz w:val="20"/>
                <w:szCs w:val="20"/>
              </w:rPr>
              <w:t xml:space="preserve">shogun</w:t>
            </w:r>
          </w:p>
        </w:tc>
        <w:tc>
          <w:tcPr>
            <w:tcW w:type="dxa" w:w="7500"/>
            <w:tcMar>
              <w:top w:type="dxa" w:w="60"/>
              <w:left w:type="dxa" w:w="100"/>
              <w:bottom w:type="dxa" w:w="60"/>
              <w:right w:type="dxa" w:w="100"/>
            </w:tcMar>
          </w:tcPr>
          <w:p>
            <w:r>
              <w:rPr>
                <w:b w:val="false"/>
                <w:bCs w:val="false"/>
                <w:sz w:val="20"/>
                <w:szCs w:val="20"/>
              </w:rPr>
              <w:t xml:space="preserve">the military ruler of feudal Japan</w:t>
            </w:r>
          </w:p>
        </w:tc>
      </w:tr>
      <w:tr>
        <w:tc>
          <w:tcPr>
            <w:tcW w:type="dxa" w:w="2200"/>
            <w:tcMar>
              <w:top w:type="dxa" w:w="60"/>
              <w:left w:type="dxa" w:w="100"/>
              <w:bottom w:type="dxa" w:w="60"/>
              <w:right w:type="dxa" w:w="100"/>
            </w:tcMar>
          </w:tcPr>
          <w:p>
            <w:r>
              <w:rPr>
                <w:b w:val="false"/>
                <w:bCs w:val="false"/>
                <w:sz w:val="20"/>
                <w:szCs w:val="20"/>
              </w:rPr>
              <w:t xml:space="preserve">stele</w:t>
            </w:r>
          </w:p>
        </w:tc>
        <w:tc>
          <w:tcPr>
            <w:tcW w:type="dxa" w:w="7500"/>
            <w:tcMar>
              <w:top w:type="dxa" w:w="60"/>
              <w:left w:type="dxa" w:w="100"/>
              <w:bottom w:type="dxa" w:w="60"/>
              <w:right w:type="dxa" w:w="100"/>
            </w:tcMar>
          </w:tcPr>
          <w:p>
            <w:r>
              <w:rPr>
                <w:b w:val="false"/>
                <w:bCs w:val="false"/>
                <w:sz w:val="20"/>
                <w:szCs w:val="20"/>
              </w:rPr>
              <w:t xml:space="preserve">a carved stone slab used to commemorate events</w:t>
            </w:r>
          </w:p>
        </w:tc>
      </w:tr>
      <w:tr>
        <w:tc>
          <w:tcPr>
            <w:tcW w:type="dxa" w:w="2200"/>
            <w:tcMar>
              <w:top w:type="dxa" w:w="60"/>
              <w:left w:type="dxa" w:w="100"/>
              <w:bottom w:type="dxa" w:w="60"/>
              <w:right w:type="dxa" w:w="100"/>
            </w:tcMar>
          </w:tcPr>
          <w:p>
            <w:r>
              <w:rPr>
                <w:b w:val="false"/>
                <w:bCs w:val="false"/>
                <w:sz w:val="20"/>
                <w:szCs w:val="20"/>
              </w:rPr>
              <w:t xml:space="preserve">hajj</w:t>
            </w:r>
          </w:p>
        </w:tc>
        <w:tc>
          <w:tcPr>
            <w:tcW w:type="dxa" w:w="7500"/>
            <w:tcMar>
              <w:top w:type="dxa" w:w="60"/>
              <w:left w:type="dxa" w:w="100"/>
              <w:bottom w:type="dxa" w:w="60"/>
              <w:right w:type="dxa" w:w="100"/>
            </w:tcMar>
          </w:tcPr>
          <w:p>
            <w:r>
              <w:rPr>
                <w:b w:val="false"/>
                <w:bCs w:val="false"/>
                <w:sz w:val="20"/>
                <w:szCs w:val="20"/>
              </w:rPr>
              <w:t xml:space="preserve">the Muslim pilgrimage to Mecca</w:t>
            </w:r>
          </w:p>
        </w:tc>
      </w:tr>
      <w:tr>
        <w:tc>
          <w:tcPr>
            <w:tcW w:type="dxa" w:w="2200"/>
            <w:tcMar>
              <w:top w:type="dxa" w:w="60"/>
              <w:left w:type="dxa" w:w="100"/>
              <w:bottom w:type="dxa" w:w="60"/>
              <w:right w:type="dxa" w:w="100"/>
            </w:tcMar>
          </w:tcPr>
          <w:p>
            <w:r>
              <w:rPr>
                <w:b w:val="false"/>
                <w:bCs w:val="false"/>
                <w:sz w:val="20"/>
                <w:szCs w:val="20"/>
              </w:rPr>
              <w:t xml:space="preserve">terrace</w:t>
            </w:r>
          </w:p>
        </w:tc>
        <w:tc>
          <w:tcPr>
            <w:tcW w:type="dxa" w:w="7500"/>
            <w:tcMar>
              <w:top w:type="dxa" w:w="60"/>
              <w:left w:type="dxa" w:w="100"/>
              <w:bottom w:type="dxa" w:w="60"/>
              <w:right w:type="dxa" w:w="100"/>
            </w:tcMar>
          </w:tcPr>
          <w:p>
            <w:r>
              <w:rPr>
                <w:b w:val="false"/>
                <w:bCs w:val="false"/>
                <w:sz w:val="20"/>
                <w:szCs w:val="20"/>
              </w:rPr>
              <w:t xml:space="preserve">a stepped hillside field that prevents erosion</w:t>
            </w:r>
          </w:p>
        </w:tc>
      </w:tr>
      <w:tr>
        <w:tc>
          <w:tcPr>
            <w:tcW w:type="dxa" w:w="2200"/>
            <w:tcMar>
              <w:top w:type="dxa" w:w="60"/>
              <w:left w:type="dxa" w:w="100"/>
              <w:bottom w:type="dxa" w:w="60"/>
              <w:right w:type="dxa" w:w="100"/>
            </w:tcMar>
          </w:tcPr>
          <w:p>
            <w:r>
              <w:rPr>
                <w:b w:val="false"/>
                <w:bCs w:val="false"/>
                <w:sz w:val="20"/>
                <w:szCs w:val="20"/>
              </w:rPr>
              <w:t xml:space="preserve">khan</w:t>
            </w:r>
          </w:p>
        </w:tc>
        <w:tc>
          <w:tcPr>
            <w:tcW w:type="dxa" w:w="7500"/>
            <w:tcMar>
              <w:top w:type="dxa" w:w="60"/>
              <w:left w:type="dxa" w:w="100"/>
              <w:bottom w:type="dxa" w:w="60"/>
              <w:right w:type="dxa" w:w="100"/>
            </w:tcMar>
          </w:tcPr>
          <w:p>
            <w:r>
              <w:rPr>
                <w:b w:val="false"/>
                <w:bCs w:val="false"/>
                <w:sz w:val="20"/>
                <w:szCs w:val="20"/>
              </w:rPr>
              <w:t xml:space="preserve">a Mongol ruler or chief</w:t>
            </w:r>
          </w:p>
        </w:tc>
      </w:tr>
      <w:tr>
        <w:tc>
          <w:tcPr>
            <w:tcW w:type="dxa" w:w="2200"/>
            <w:tcMar>
              <w:top w:type="dxa" w:w="60"/>
              <w:left w:type="dxa" w:w="100"/>
              <w:bottom w:type="dxa" w:w="60"/>
              <w:right w:type="dxa" w:w="100"/>
            </w:tcMar>
          </w:tcPr>
          <w:p>
            <w:r>
              <w:rPr>
                <w:b w:val="false"/>
                <w:bCs w:val="false"/>
                <w:sz w:val="20"/>
                <w:szCs w:val="20"/>
              </w:rPr>
              <w:t xml:space="preserve">sampan</w:t>
            </w:r>
          </w:p>
        </w:tc>
        <w:tc>
          <w:tcPr>
            <w:tcW w:type="dxa" w:w="7500"/>
            <w:tcMar>
              <w:top w:type="dxa" w:w="60"/>
              <w:left w:type="dxa" w:w="100"/>
              <w:bottom w:type="dxa" w:w="60"/>
              <w:right w:type="dxa" w:w="100"/>
            </w:tcMar>
          </w:tcPr>
          <w:p>
            <w:r>
              <w:rPr>
                <w:b w:val="false"/>
                <w:bCs w:val="false"/>
                <w:sz w:val="20"/>
                <w:szCs w:val="20"/>
              </w:rPr>
              <w:t xml:space="preserve">a small flat-bottomed Chinese river boat</w:t>
            </w:r>
          </w:p>
        </w:tc>
      </w:tr>
    </w:tbl>
    <w:p>
      <w:pPr>
        <w:pStyle w:val="Heading2"/>
      </w:pPr>
      <w:r>
        <w:t xml:space="preserve">Block 4: the delayed test (~8 min)</w:t>
      </w:r>
    </w:p>
    <w:p>
      <w:pPr>
        <w:pStyle w:val="ListParagraph"/>
        <w:numPr>
          <w:ilvl w:val="0"/>
          <w:numId w:val="3"/>
        </w:numPr>
        <w:spacing w:after="60"/>
      </w:pPr>
      <w:r>
        <w:t xml:space="preserve">Unannounced: hand out a mixed test of all 16 terms (order shuffled, meanings blank). 5 minutes, closed everything.</w:t>
      </w:r>
    </w:p>
    <w:p>
      <w:pPr>
        <w:pStyle w:val="ListParagraph"/>
        <w:numPr>
          <w:ilvl w:val="0"/>
          <w:numId w:val="3"/>
        </w:numPr>
        <w:spacing w:after="60"/>
      </w:pPr>
      <w:r>
        <w:t xml:space="preserve">Students self-score against the lists: score out of 8 for A-terms, out of 8 for B-terms.</w:t>
      </w:r>
    </w:p>
    <w:p>
      <w:pPr>
        <w:pStyle w:val="ListParagraph"/>
        <w:numPr>
          <w:ilvl w:val="0"/>
          <w:numId w:val="3"/>
        </w:numPr>
        <w:spacing w:after="60"/>
      </w:pPr>
      <w:r>
        <w:t xml:space="preserve">Collect a quick tally on the board: class average for List A vs List B, and hands up for "my prediction was wrong."</w:t>
      </w:r>
    </w:p>
    <w:p>
      <w:pPr>
        <w:pStyle w:val="ListParagraph"/>
        <w:numPr>
          <w:ilvl w:val="0"/>
          <w:numId w:val="3"/>
        </w:numPr>
        <w:spacing w:after="60"/>
      </w:pPr>
      <w:r>
        <w:t xml:space="preserve">The reveal script: "Most of you predicted the list you reread would win — it felt smoother. That feeling is called the fluency illusion, and it is why rereading feels like studying while doing almost nothing. The tested list wins in study after study, and it just won in this room. Everything about how this course runs — the openers, the review queue in the app, the way homework works — is built on what you just proved to yourselves."</w:t>
      </w:r>
    </w:p>
    <w:p>
      <w:pPr>
        <w:pStyle w:val="Heading2"/>
      </w:pPr>
      <w:r>
        <w:t xml:space="preserve">If the effect is small or reversed</w:t>
      </w:r>
    </w:p>
    <w:p>
      <w:pPr>
        <w:spacing w:after="100"/>
      </w:pPr>
      <w:r>
        <w:t xml:space="preserve">With small samples it can happen. Own it honestly: report the class averages AND the published finding (testing beat rereading by roughly 50% at one week in the classic studies; it also held in real history classrooms at about a letter grade). Offer to re-run it in a month with new lists — students respect the honesty, and the second run almost always lands.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Calibri" w:cs="Calibri" w:eastAsia="Calibri" w:hAnsi="Calibri"/>
      <w:b/>
      <w:bCs/>
      <w:color w:val="1F3864"/>
      <w:sz w:val="32"/>
      <w:szCs w:val="32"/>
    </w:rPr>
  </w:style>
  <w:style w:type="paragraph" w:styleId="Heading2">
    <w:name w:val="Heading 2"/>
    <w:basedOn w:val="Normal"/>
    <w:next w:val="Normal"/>
    <w:qFormat/>
    <w:pPr>
      <w:spacing w:after="100" w:before="200"/>
    </w:pPr>
    <w:rPr>
      <w:rFonts w:ascii="Calibri" w:cs="Calibri" w:eastAsia="Calibri" w:hAnsi="Calibri"/>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2026-08-24T00:59:52.314Z</dcterms:created>
  <dcterms:modified xsi:type="dcterms:W3CDTF">2026-08-24T00:59:52.315Z</dcterms:modified>
</cp:coreProperties>
</file>

<file path=docProps/custom.xml><?xml version="1.0" encoding="utf-8"?>
<Properties xmlns="http://schemas.openxmlformats.org/officeDocument/2006/custom-properties" xmlns:vt="http://schemas.openxmlformats.org/officeDocument/2006/docPropsVTypes"/>
</file>