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52"/>
          <w:szCs w:val="52"/>
          <w:rtl w:val="0"/>
        </w:rPr>
        <w:t xml:space="preserve">SITESPECTOR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86c1" w:space="12" w:sz="4" w:val="single"/>
        </w:pBd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d6d7e"/>
          <w:sz w:val="24"/>
          <w:szCs w:val="24"/>
          <w:rtl w:val="0"/>
        </w:rPr>
        <w:t xml:space="preserve">Profesjonalna platforma audytów SEO z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44"/>
          <w:szCs w:val="44"/>
          <w:rtl w:val="0"/>
        </w:rPr>
        <w:t xml:space="preserve">JAK ROZWIĄZUJEMY PROBLEMY?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d6d7e"/>
          <w:sz w:val="24"/>
          <w:szCs w:val="24"/>
          <w:rtl w:val="0"/>
        </w:rPr>
        <w:t xml:space="preserve">User journey: od URL do planu działania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tblGridChange w:id="0">
          <w:tblGrid>
            <w:gridCol w:w="20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Wersja: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Data: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Marzec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Dokument: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4 z 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Zakres: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Produkcja + Faza 1 + Faza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1. Jeden flow, trzy fazy, pełny obraz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SiteSpector rozwiązuje problemy naszych odbiorców (opisane w dokumencie 3) poprzez ustandaryzowany, 3-fazowy proces audytu. Użytkownik wpisuje URL — platforma robi resztę.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left w:color="2e86c1" w:space="8" w:sz="6" w:val="single"/>
        </w:pBdr>
        <w:spacing w:after="200" w:before="200" w:lineRule="auto"/>
        <w:ind w:left="480" w:right="48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86c1"/>
          <w:sz w:val="24"/>
          <w:szCs w:val="24"/>
          <w:rtl w:val="0"/>
        </w:rPr>
        <w:t xml:space="preserve">Wpisz URL → 30 minut → pełny audyt techniczny + analiza AI + plan działania z kodem. Zero ręcznej pracy.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Tradycyjny audyt SEO wymaga 4–8 godzin pracy specjalisty i 4–5 narzędzi. SiteSpector automatyzuje cały ten proces, a na końcu nie daje listy błędów — daje gotowy plan działania.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5"/>
        <w:gridCol w:w="1805"/>
        <w:gridCol w:w="1805"/>
        <w:gridCol w:w="1806"/>
        <w:gridCol w:w="1805"/>
        <w:tblGridChange w:id="0">
          <w:tblGrid>
            <w:gridCol w:w="1805"/>
            <w:gridCol w:w="1805"/>
            <w:gridCol w:w="1805"/>
            <w:gridCol w:w="1806"/>
            <w:gridCol w:w="18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bdc3c7" w:space="0" w:sz="4" w:val="single"/>
            </w:tcBorders>
            <w:shd w:fill="d5f5e3" w:val="clear"/>
            <w:tcMar>
              <w:top w:w="120.0" w:type="dxa"/>
              <w:left w:w="80.0" w:type="dxa"/>
              <w:bottom w:w="12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Wpisz URL+ konkurenci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bdc3c7" w:space="0" w:sz="4" w:val="single"/>
              <w:bottom w:color="2e86c1" w:space="0" w:sz="4" w:val="single"/>
              <w:right w:color="bdc3c7" w:space="0" w:sz="4" w:val="single"/>
            </w:tcBorders>
            <w:shd w:fill="ebf5fb" w:val="clear"/>
            <w:tcMar>
              <w:top w:w="120.0" w:type="dxa"/>
              <w:left w:w="80.0" w:type="dxa"/>
              <w:bottom w:w="12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FAZA 1</w:t>
              <w:br w:type="textWrapping"/>
              <w:t xml:space="preserve">Analizatechniczna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bdc3c7" w:space="0" w:sz="4" w:val="single"/>
              <w:bottom w:color="2e86c1" w:space="0" w:sz="4" w:val="single"/>
              <w:right w:color="bdc3c7" w:space="0" w:sz="4" w:val="single"/>
            </w:tcBorders>
            <w:shd w:fill="ebf5fb" w:val="clear"/>
            <w:tcMar>
              <w:top w:w="120.0" w:type="dxa"/>
              <w:left w:w="80.0" w:type="dxa"/>
              <w:bottom w:w="12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FAZA 2</w:t>
              <w:br w:type="textWrapping"/>
              <w:t xml:space="preserve">Analiza AI(9 obszarów)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bdc3c7" w:space="0" w:sz="4" w:val="single"/>
              <w:bottom w:color="2e86c1" w:space="0" w:sz="4" w:val="single"/>
              <w:right w:color="bdc3c7" w:space="0" w:sz="4" w:val="single"/>
            </w:tcBorders>
            <w:shd w:fill="fff3cd" w:val="clear"/>
            <w:tcMar>
              <w:top w:w="120.0" w:type="dxa"/>
              <w:left w:w="80.0" w:type="dxa"/>
              <w:bottom w:w="12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FAZA 3</w:t>
              <w:br w:type="textWrapping"/>
              <w:t xml:space="preserve">Execution Plan(do 200 zadań)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bdc3c7" w:space="0" w:sz="4" w:val="single"/>
              <w:bottom w:color="2e86c1" w:space="0" w:sz="4" w:val="single"/>
              <w:right w:color="2e86c1" w:space="0" w:sz="4" w:val="single"/>
            </w:tcBorders>
            <w:shd w:fill="d5f5e3" w:val="clear"/>
            <w:tcMar>
              <w:top w:w="120.0" w:type="dxa"/>
              <w:left w:w="80.0" w:type="dxa"/>
              <w:bottom w:w="12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Wyniki</w:t>
              <w:br w:type="textWrapping"/>
              <w:t xml:space="preserve">Raporty Chat 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Poniżej omawiamy każdy krok user journey — co się dzieje, jakie dane zbieramy, i jaką wartość to daje użytkownikowi.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bdc3c7" w:space="1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2. Krok 0: Użytkownik wpisuje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Cały proces zaczyna się od jednego pola: adres URL strony do analizy.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URL główny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Adres strony, którą chcemy zaudytować (np. example.pl). System automatycznie dodaje https:// jeśli brakuje.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Konkurenci (opcjonalnie)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Do 3 URL-i konkurentów. SiteSpector porówna wydajność (Lighthouse) i widoczność (Senuto) z konkurencją.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Workspace / Projekt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Audyt jest przypisany do projektu w workspace. Jeden projekt = jedna strona. Workspace = folder na projekty (np. per klient agencji).</w:t>
      </w:r>
    </w:p>
    <w:p w:rsidR="00000000" w:rsidDel="00000000" w:rsidP="00000000" w:rsidRDefault="00000000" w:rsidRPr="00000000" w14:paraId="00000023">
      <w:pPr>
        <w:spacing w:after="16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Czas użytkownika: mniej niż 30 sekund. Reszta jest automatyczna.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bdc3c7" w:space="1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3. Faza 1: Analiza techniczna (automatyczna)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Faza 1 zbiera surowe dane z trzech profesjonalnych źródeł. Użytkownik nie musi nic konfigurować — wszystko działa w tle.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c1" w:space="0" w:sz="4" w:val="single"/>
              <w:left w:color="2e86c1" w:space="0" w:sz="4" w:val="single"/>
              <w:bottom w:color="000000" w:space="0" w:sz="0" w:val="nil"/>
              <w:right w:color="2e86c1" w:space="0" w:sz="4" w:val="single"/>
            </w:tcBorders>
            <w:shd w:fill="2e86c1" w:val="clear"/>
            <w:tcMar>
              <w:top w:w="120.0" w:type="dxa"/>
              <w:left w:w="300.0" w:type="dxa"/>
              <w:bottom w:w="120.0" w:type="dxa"/>
              <w:right w:w="3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FAZA 1: Analiza techniczna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Czas: 10–20 minut (automatycznie)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86c1" w:space="0" w:sz="4" w:val="single"/>
              <w:bottom w:color="e8e8e8" w:space="0" w:sz="4" w:val="single"/>
              <w:right w:color="2e86c1" w:space="0" w:sz="4" w:val="single"/>
            </w:tcBorders>
            <w:shd w:fill="ebf5fb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2A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Screaming Frog (crawl SEO):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Pełny crawl strony: 30+ metryk per podstrona. Tytuły, meta opisy, nagłówki H1/H2, linki wewnętrzne i zewnętrzne, obrazy, przekierowania, kody odpowiedzi, canonical URL-e, directives, hreflang. Komercyjna licencja SF — ten sam silnik który używają agencje.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86c1" w:space="0" w:sz="4" w:val="single"/>
              <w:bottom w:color="e8e8e8" w:space="0" w:sz="4" w:val="single"/>
              <w:right w:color="2e86c1" w:space="0" w:sz="4" w:val="single"/>
            </w:tcBorders>
            <w:shd w:fill="ffffff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2B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Google Lighthouse (wydajność):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Core Web Vitals na desktop i mobile osobno: LCP, CLS, TBT, TTFB, FCP, Speed Index. Plus: Performance Score, Accessibility Score, Best Practices Score, SEO Score. Dane z ponad 150 audytów per strona.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86c1" w:space="0" w:sz="4" w:val="single"/>
              <w:bottom w:color="e8e8e8" w:space="0" w:sz="4" w:val="single"/>
              <w:right w:color="2e86c1" w:space="0" w:sz="4" w:val="single"/>
            </w:tcBorders>
            <w:shd w:fill="ebf5fb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2C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Senuto (widoczność PL):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Do 10 000 pozycji keywordów, wzrosty/spadki, widoczność domeny, AI Overviews (cytowania w wynikach AI Google), backlinki (2000 ref domains, 5000 linków), kanibalizacja keywordów, analiza sekcji.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86c1" w:space="0" w:sz="4" w:val="single"/>
              <w:bottom w:color="e8e8e8" w:space="0" w:sz="4" w:val="single"/>
              <w:right w:color="2e86c1" w:space="0" w:sz="4" w:val="single"/>
            </w:tcBorders>
            <w:shd w:fill="ffffff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2D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Technical SEO Extras (8 modułów):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Schema.org (walidacja JSON-LD + AI Readiness Score), semantyka HTML, robots.txt, sitemap.xml (coverage), konfiguracja domeny (www/HTTPS/redirecty), render bez JavaScript, soft 404 / thin content, directives / hreflang.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ebf5fb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2E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Analiza konkurentów: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Lighthouse desktop + mobile dla do 3 konkurentów. Porównanie wydajności, widoczności i keywordów.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spacing w:after="1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Co użytkownik dostaje po Fazie 1?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Health Score — pojedynczy wskaźnik 0–100% zdrowia strony (agregat SF + LH + extras).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Issue Severity Dashboard — ile błędów: Error / Warning / Notice z podziałem na kategorie.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Dashboard z metrykami — wyniki Lighthouse, widoczność Senuto, kluczowe problemy techniczne.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6 panelów Technical SEO — robots.txt, sitemap, domain config, render no-JS, soft 404, directives/hreflang.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Pełna lista stron z danymi per-page — data explorer z wyszukiwaniem, sortowaniem i eksportem.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4. Faza 2: Analiza AI (Gemini)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Faza 2 to moment, w którym SiteSpector wyrośnie ponad standardowe narzędzia. AI (Google Gemini) analizuje WSZYSTKIE dane z Fazy 1 i wyciąga wnioski, których człowiek nie zobaczyłby ręcznie — korelacje między narzędziami, priorytety, strategia.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276" w:space="0" w:sz="4" w:val="single"/>
              <w:left w:color="1a5276" w:space="0" w:sz="4" w:val="single"/>
              <w:bottom w:color="000000" w:space="0" w:sz="0" w:val="nil"/>
              <w:right w:color="1a5276" w:space="0" w:sz="4" w:val="single"/>
            </w:tcBorders>
            <w:shd w:fill="1a5276" w:val="clear"/>
            <w:tcMar>
              <w:top w:w="120.0" w:type="dxa"/>
              <w:left w:w="300.0" w:type="dxa"/>
              <w:bottom w:w="120.0" w:type="dxa"/>
              <w:right w:w="3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FAZA 2: Analiza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Czas: 5–10 minut (automatycznie)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a5276" w:space="0" w:sz="4" w:val="single"/>
              <w:bottom w:color="e8e8e8" w:space="0" w:sz="4" w:val="single"/>
              <w:right w:color="1a5276" w:space="0" w:sz="4" w:val="single"/>
            </w:tcBorders>
            <w:shd w:fill="ebf5fb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3C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9 kontekstowych analiz: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Każdy z 9 obszarów (SEO, Performance, Visibility, AI Overviews, Backlinks, Links, Images, Security, UX) jest analizowany osobno przez Gemini z pełnym kontekstem danych.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a5276" w:space="0" w:sz="4" w:val="single"/>
              <w:bottom w:color="e8e8e8" w:space="0" w:sz="4" w:val="single"/>
              <w:right w:color="1a5276" w:space="0" w:sz="4" w:val="single"/>
            </w:tcBorders>
            <w:shd w:fill="ffffff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3D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Cross-tool korelacje: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AI widzi dane ze WSZYSTKICH narzędzi naraz. Np. koreluje niską widoczność Senuto z problemami technicznymi ze SF i słabą wydajnością z Lighthouse. Żaden inny produkt tego nie robi.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a5276" w:space="0" w:sz="4" w:val="single"/>
              <w:bottom w:color="e8e8e8" w:space="0" w:sz="4" w:val="single"/>
              <w:right w:color="1a5276" w:space="0" w:sz="4" w:val="single"/>
            </w:tcBorders>
            <w:shd w:fill="ebf5fb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3E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Executive Summary: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1 strona „po ludzku” — główne wnioski, mocne strony, krytyczne problemy, zrozumiałe bez wiedzy technicznej.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a5276" w:space="0" w:sz="4" w:val="single"/>
              <w:bottom w:color="e8e8e8" w:space="0" w:sz="4" w:val="single"/>
              <w:right w:color="1a5276" w:space="0" w:sz="4" w:val="single"/>
            </w:tcBorders>
            <w:shd w:fill="ffffff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3F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Roadmapa w 4 horyzontach: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Co zrobić teraz (quick wins), w tym tygodniu, w tym miesiącu, strategicznie (3+ miesiące).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a5276" w:space="0" w:sz="4" w:val="single"/>
              <w:bottom w:color="e8e8e8" w:space="0" w:sz="4" w:val="single"/>
              <w:right w:color="1a5276" w:space="0" w:sz="4" w:val="single"/>
            </w:tcBorders>
            <w:shd w:fill="ebf5fb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40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Quick Wins: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Zadania o wysokim impact i niskim effort — natychmiastowe wygrane.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a5276" w:space="0" w:sz="4" w:val="single"/>
              <w:bottom w:color="1a5276" w:space="0" w:sz="4" w:val="single"/>
              <w:right w:color="1a5276" w:space="0" w:sz="4" w:val="single"/>
            </w:tcBorders>
            <w:shd w:fill="ffffff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41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Global Snapshot: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Spójność między modułami — AI nigdy nie mówi „brak AIO” w jednym module jeśli inny ma dane AIO.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spacing w:after="1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Dlaczego to działa lepiej niż ręczna analiza?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Specjalista SEO analizuje narzędzia sekwencyjnie — najpierw crawl, potem wydajność, potem widoczność. Korelacje między nimi odkrywa (jeśli w ogóle) po godzinach pracy. Gemini AI otrzymuje wszystkie dane naraz i w minuty identyfikuje wzorce, które specjalista znalazłby po dniach. Ale AI nie zastępuje specjalisty — daje mu gotowy punkt wyjścia, który może zweryfikować i doprecyzować.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5. Faza 3: Execution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left w:color="2e86c1" w:space="8" w:sz="6" w:val="single"/>
        </w:pBdr>
        <w:spacing w:after="200" w:before="200" w:lineRule="auto"/>
        <w:ind w:left="480" w:right="48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86c1"/>
          <w:sz w:val="24"/>
          <w:szCs w:val="24"/>
          <w:rtl w:val="0"/>
        </w:rPr>
        <w:t xml:space="preserve">To jest serce SiteSpector i nasz główny wyróżnik. Żaden inny produkt na rynku nie generuje gotowego planu działania z kodem.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7e22" w:space="0" w:sz="4" w:val="single"/>
              <w:left w:color="e67e22" w:space="0" w:sz="4" w:val="single"/>
              <w:bottom w:color="000000" w:space="0" w:sz="0" w:val="nil"/>
              <w:right w:color="e67e22" w:space="0" w:sz="4" w:val="single"/>
            </w:tcBorders>
            <w:shd w:fill="e67e22" w:val="clear"/>
            <w:tcMar>
              <w:top w:w="120.0" w:type="dxa"/>
              <w:left w:w="300.0" w:type="dxa"/>
              <w:bottom w:w="120.0" w:type="dxa"/>
              <w:right w:w="3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FAZA 3: Execution Plan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Generowany automatycznie po Fazie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67e22" w:space="0" w:sz="4" w:val="single"/>
              <w:bottom w:color="e8e8e8" w:space="0" w:sz="4" w:val="single"/>
              <w:right w:color="e67e22" w:space="0" w:sz="4" w:val="single"/>
            </w:tcBorders>
            <w:shd w:fill="ebf5fb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4B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Do 200 priorytetyzowanych zadań: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Każde zadanie ma: tytuł, opis, priorytet (critical/high/medium/low), szacowany impact (1–10), nakład pracy (easy/medium/hard), oznaczenie Quick Win.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67e22" w:space="0" w:sz="4" w:val="single"/>
              <w:bottom w:color="e8e8e8" w:space="0" w:sz="4" w:val="single"/>
              <w:right w:color="e67e22" w:space="0" w:sz="4" w:val="single"/>
            </w:tcBorders>
            <w:shd w:fill="ffffff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4C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Gotowy kod do wklejenia: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Np. Schema.org JSON-LD, tagi meta, konfiguracja robots.txt, nginx headers — developer może skopiować i wdrożyć od razu.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67e22" w:space="0" w:sz="4" w:val="single"/>
              <w:bottom w:color="e8e8e8" w:space="0" w:sz="4" w:val="single"/>
              <w:right w:color="e67e22" w:space="0" w:sz="4" w:val="single"/>
            </w:tcBorders>
            <w:shd w:fill="ebf5fb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4D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8 modułów zadań: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SEO, Performance, Visibility, AI Overviews, Links, Images, UX, Security — każdy generuje specyficzne zadania ze swojego obszaru.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67e22" w:space="0" w:sz="4" w:val="single"/>
              <w:bottom w:color="e8e8e8" w:space="0" w:sz="4" w:val="single"/>
              <w:right w:color="e67e22" w:space="0" w:sz="4" w:val="single"/>
            </w:tcBorders>
            <w:shd w:fill="ffffff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4E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Korelacje między modułami: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AI nie generuje zadań w izolacji — jeśli problem z LCP wynika z ciężkich obrazów, zadanie trafia do Images z kontekstem Performance.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67e22" w:space="0" w:sz="4" w:val="single"/>
              <w:bottom w:color="e67e22" w:space="0" w:sz="4" w:val="single"/>
              <w:right w:color="e67e22" w:space="0" w:sz="4" w:val="single"/>
            </w:tcBorders>
            <w:shd w:fill="ebf5fb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4F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Priorytetyzacja: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Zadania sortowane wg impact × effort. Quick Wins na górze — użytkownik wie od czego zacząć.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spacing w:after="1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Przykład zadania z Execution Plan: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Tytuł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Dodaj Schema.org Organization do strony głównej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Priorytet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8/10 — Rich snippets + AI Overviews eligibility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Effort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Easy — copy-paste JSON-LD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Quick 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spacing w:line="260" w:lineRule="auto"/>
              <w:rPr/>
            </w:pPr>
            <w:sdt>
              <w:sdtPr>
                <w:id w:val="62743103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c2833"/>
                    <w:sz w:val="20"/>
                    <w:szCs w:val="20"/>
                    <w:rtl w:val="0"/>
                  </w:rPr>
                  <w:t xml:space="preserve">✅ Tak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Gotowy kod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&lt;script type="application/ld+json"&gt;{"@context":"https://schema.org", "@type":"Organization", "name":"...", "url":"...", ...}&lt;/script&gt;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Dlaczego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Strony z bogatym Schema.org są częściej cytowane w AI Overviews Google. Brak Organization schema = utracona szansa na rich snippets w SERP.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Bdr>
          <w:bottom w:color="bdc3c7" w:space="1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6. Po audycie: co użytkownik robi z wynikami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pacing w:after="1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6.1. Dashboard i przeglądanie wyników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Health Score — jeden wskaźnik „jak zdrowa jest moja strona” (0–100%).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Issue Severity Dashboard — Error / Warning / Notice z count badges per kategoria.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Szczegółowe wyniki per obszar — SEO, Performance, Visibility, AI Overviews, Technical SEO z dedykowanymi stronami.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Data Explorer — pełna lista stron z wyszukiwaniem, sortowaniem, eksportem (CSV).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Backlinki — pełna tabela ref domains (2000+), anchory, lista linków (5000+), TLD distribution.</w:t>
      </w:r>
    </w:p>
    <w:p w:rsidR="00000000" w:rsidDel="00000000" w:rsidP="00000000" w:rsidRDefault="00000000" w:rsidRPr="00000000" w14:paraId="00000068">
      <w:pPr>
        <w:pStyle w:val="Heading3"/>
        <w:spacing w:after="1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6.2. Raporty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Trzy formaty dopasowane do odbiorcy — generowane w 1 klik: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200"/>
        <w:gridCol w:w="2313"/>
        <w:gridCol w:w="3313"/>
        <w:tblGridChange w:id="0">
          <w:tblGrid>
            <w:gridCol w:w="2200"/>
            <w:gridCol w:w="1200"/>
            <w:gridCol w:w="2313"/>
            <w:gridCol w:w="33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Strony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Dla kogo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 zawiera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Executive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15–25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Zarząd, CEO, klient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Overall score, mocne strony, krytyczne problemy, quick wins, roadmapa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Standard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50–80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Marketing,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Pełna analiza SEO + wydajność + widoczność + AI rekomendacje + wykresy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Full Audit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80–150+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Agencje, deweloperzy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Wszystko: dane techniczne, Execution Plan, lista zadań, surowe dane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Branding / White Label: W wyższych planach (Agency/Enterprise) użytkownicy mają możliwość pełnej personalizacji raportów PDF. Mogą dodać własne logo i kolory firmowe, dzięki czemu raport staje się ich własnym, profesjonalnym produktem dla klienta końcowego (bez konieczności ręcznej edycji plików).</w:t>
      </w:r>
    </w:p>
    <w:p w:rsidR="00000000" w:rsidDel="00000000" w:rsidP="00000000" w:rsidRDefault="00000000" w:rsidRPr="00000000" w14:paraId="0000007B">
      <w:pPr>
        <w:pStyle w:val="Heading3"/>
        <w:spacing w:after="1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6.3. Chat AI (RAG)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Po audycie użytkownik może rozmawiać z wynikami przez chat AI: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Kontekst: chat zna WSZYSTKIE wyniki tego konkretnego audytu (RAG — Retrieval Augmented Generation).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Pytania po polsku: „Dlaczego mój LCP jest wolny?”, „Co powinienem naprawić najpierw?”, „Wytłumacz mi co to CLS”.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5 agentów: ogólny, techniczny, contentowy + możliwość tworzenia własnych agentów.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Streaming: odpowiedzi w czasie rzeczywistym (SSE), jak ChatGPT.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Załączniki: można wrzucić screenshot, PDF, CSV — AI przeanalizuje w kontekście audytu.</w:t>
      </w:r>
    </w:p>
    <w:p w:rsidR="00000000" w:rsidDel="00000000" w:rsidP="00000000" w:rsidRDefault="00000000" w:rsidRPr="00000000" w14:paraId="00000082">
      <w:pPr>
        <w:pStyle w:val="Heading3"/>
        <w:spacing w:after="1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6.4. Harmonogramy automatyczne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Użytkownik konfiguruje raz, platforma robi resztę: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Częstotliwość: daily / weekly / monthly.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Automatyczny audyt + raport bez interwencji użytkownika.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Trend tracking — porównanie wyników między audytami (Score Delta Tracking).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Idealne dla agencji obsługujących wielu klientów.</w:t>
      </w:r>
    </w:p>
    <w:p w:rsidR="00000000" w:rsidDel="00000000" w:rsidP="00000000" w:rsidRDefault="00000000" w:rsidRPr="00000000" w14:paraId="00000088">
      <w:pPr>
        <w:pBdr>
          <w:bottom w:color="bdc3c7" w:space="1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6.5. Model Freemium i Statyczne Demo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Aby obniżyć barierę wejścia i zbudować zaufanie przed zakupem, SiteSpector oferuje dwa mechanizmy: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• Model Freemium: Użytkownik zakłada darmowe konto i generuje audyt swojej strony. Widzi około 20% pełnych danych (np. część techniczną), podczas gdy reszta raportu (w tym Execution Plan) jest zblurowana. Otrzymuje również startową pulę darmowych kredytów (np. 50), które pozwalają mu porozmawiać z Chatem AI o widocznych wynikach. To tworzy „efekt wow” i naturalnie zachęca do upgrade'u.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• Statyczne Demo (Wydmuszka): W pełni funkcjonalny, ale oparty na statycznych danych panel demonstracyjny dostępny bez logowania. Potencjalny klient (np. agencja) może przeklikać cały system, zobaczyć przykładowy raport i historię czatu, nie zużywając własnych kredytów ani czasu na konfigurację.</w:t>
        <w:br w:type="textWrapping"/>
      </w:r>
    </w:p>
    <w:p w:rsidR="00000000" w:rsidDel="00000000" w:rsidP="00000000" w:rsidRDefault="00000000" w:rsidRPr="00000000" w14:paraId="0000008D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7. Faza 2 development („Deeper Insights”) — zrealizowana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Poniższe funkcje zostały wdrożone w ramach Fazy 2. Bazują na danych, które już zbieraliśmy, ale wcześniej nie eksponowaliśmy w pełni: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spacing w:after="1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Nowe dane z istniejących źródeł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Crawl Depth Analysis — strony daleko od homepage trudniej się indeksują. Wizualizacja rozkładu stron per głębokość kliknięć.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Text Ratio — stosunek treści do HTML. Niska wartość = thin content lub przerosnął template.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Internal Link Score — które strony dostają najwięcej link equity? Proxy wewnętrznego PageRank.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Title/Meta Pixel Width — czy tytuły i opisy są obcinane w SERP?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Duplikat content detection — near-duplicate pages wykrywane przez hash comparison z crawla.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Zewnętrzne linki (External:All) — broken outbound links, status code sprawdzenia.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Graf linków (Links:All) — internal linking analysis, orphan page detection.</w:t>
      </w:r>
    </w:p>
    <w:p w:rsidR="00000000" w:rsidDel="00000000" w:rsidP="00000000" w:rsidRDefault="00000000" w:rsidRPr="00000000" w14:paraId="00000097">
      <w:pPr>
        <w:pStyle w:val="Heading3"/>
        <w:spacing w:after="1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Nowe analizy krzyżowe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Quick Win Keyword Opportunities — keywordy na pozycjach 11–20 z wysokim search volume. Potencjał przejścia na stronę 1.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Orphan Page Detection — strony bez linków wewnętrznych (niewidoczne dla Google).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Cannibalization Summary — ile keywordów kanibalizowanych, ile par URL, impact assessment.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CWV Desktop vs Mobile Gap — gdzie największa różnica między desktop a mobile.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Lighthouse: pogrupowane issues — opportunities/diagnostics pogrupowane po kategoriach z count badges.</w:t>
      </w:r>
    </w:p>
    <w:p w:rsidR="00000000" w:rsidDel="00000000" w:rsidP="00000000" w:rsidRDefault="00000000" w:rsidRPr="00000000" w14:paraId="0000009D">
      <w:pPr>
        <w:pBdr>
          <w:bottom w:color="bdc3c7" w:space="1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8. Podsumowanie: jak SiteSpector mapuje się na 11 problemów z dokumentu 3</w:t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5826"/>
        <w:tblGridChange w:id="0">
          <w:tblGrid>
            <w:gridCol w:w="3200"/>
            <w:gridCol w:w="5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Problem (z doc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Mechanizm rozwiązania w SiteSpector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#1 Fragmentacja narzędzi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Jedna platforma: SF + Lighthouse + Senuto + Gemini AI. Jeden abonament. Dane automatycznie skorelowane.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#2 Brak planu działania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Faza 3: Execution Plan z do 200 zadań, priorytetami, kodem. Roadmapa w 4 horyzontach czasowych.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#3 Raportowanie trwa godziny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PDF w 1 klik — 3 formaty (Executive, Standard, Full). Zero ręcznego formatowania.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#4 Brak standaryzacji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Ustandaryzowany 3-fazowy proces. Każdy audyt przechodzi te same kroki, niezależnie kto go uruchamia.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#5 Klient nie rozumie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Executive Summary po polsku, Chat AI do pytań, scoring 0–100, priorytetyzacja critical→low.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#6 Brak monitoring AI Overviews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Senuto AIO: cytowania, pozycje w AI Google, AIO competitors. AI Crawler Readiness Score.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#7 Weryfikacja agencji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Niezależny audyt z 4 źródeł danych. Porównanie z 3 konkurentami. /sprawdz-agencje-seo.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#8 Brak polskiego all-in-one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Jedyny produkt łączący SF + LH + Senuto + AI. Interfejs, raporty i chat po polsku. Dane w 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#9 Brak API / Integracji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Plan Custom oferujący dostęp do API. Pozwala to na automatyczne zlecanie audytów i pobieranie wyników bezpośrednio do wewnętrznych systemów firmy (CRM).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#10 Brak personalizacji (Branding)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Możliwość pełnego brandingu raportów PDF (własne logo, kolory) w wyższych planach (Agency/Enterprise).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#11 Wysoka bariera wejścia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Model Freemium (zblurowane raporty + darmowe kredyty na Chat AI) oraz statyczne Demo (wydmuszka) pokazujące pełną wartość platformy przed zakupem.</w:t>
            </w:r>
          </w:p>
        </w:tc>
      </w:tr>
    </w:tbl>
    <w:p w:rsidR="00000000" w:rsidDel="00000000" w:rsidP="00000000" w:rsidRDefault="00000000" w:rsidRPr="00000000" w14:paraId="000000B7">
      <w:pPr>
        <w:pBdr>
          <w:bottom w:color="bdc3c7" w:space="1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9. Unikalne elementy — czego nie ma żaden konkurent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6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Na podstawie gap analysis i benchmarku rynkowego (marzec 2026), SiteSpector posiada 9 unikalnych elementów, których nie oferuje żaden inny produkt: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026"/>
        <w:tblGridChange w:id="0">
          <w:tblGrid>
            <w:gridCol w:w="4000"/>
            <w:gridCol w:w="5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Unikalna funkcja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Dlaczego to ważne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RAG Chat per audyt (5 agentów)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Użytkownik rozmawia z wynikami audytu w języku naturalnym. Żaden konkurent tego nie oferuje.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Auto-generowany Execution Plan z kodem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Gotowe do wdrożenia zadania z priorytetem i kodem. Jedyny produkt który zamyka lukę audyt → działanie.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9-area AI contextual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Gemini analizuje każdy obszar osobno z pełnym kontekstem. SEMrush Copilot jest znacznie lżejszy.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Cross-tool korelacje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AI widzi dane ze SF + LH + Senuto naraz. Nikt inny nie integruje tych 3 źródeł w jednej analizie.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Integracja Senuto (rynek PL)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Jedyny produkt z polskimi danymi widoczności + crawlerem + AI w jednej platformie.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3 typy raportów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Executive / Standard / Full — dopasowane do odbiorcy. Sitebulb ma PDF, ale bez tej segmentacji.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Quick Wins z Impact/Effort 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Natychmiastowe identyfikowanie zadań o wysokim ROI. Żaden konkurent tego nie automatyzuje.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Schema.org AI Readiness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Ocena gotowości strony na cytowanie przez AI Overviews. SEMrush ma basic, SiteSpector ma scoring.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Brak opłat per seat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spacing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18"/>
                <w:szCs w:val="18"/>
                <w:rtl w:val="0"/>
              </w:rPr>
              <w:t xml:space="preserve">Model per audyt/kredyty. Agencja może zaprosić 50 osób bez dodatkowych kosztów.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Platforma rozszerzeń (Upselle)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Architektura gotowa na dodawanie płatnych wtyczek (np. moduł Content Optimization dla e-commerce), przekształcająca narzędzie w kompleksowy ekosystem.</w:t>
            </w:r>
          </w:p>
        </w:tc>
      </w:tr>
    </w:tbl>
    <w:p w:rsidR="00000000" w:rsidDel="00000000" w:rsidP="00000000" w:rsidRDefault="00000000" w:rsidRPr="00000000" w14:paraId="000000D0">
      <w:pPr>
        <w:pBdr>
          <w:bottom w:color="bdc3c7" w:space="1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spacing w:after="1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Źródła z linkami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SiteSpector Gap Analysis Report (wewnętrzny, 2026-03-08) — benchmark rynkowy i analiza luk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Backlinko — 18-Step SEO Audit Checklist 2026: https://backlinko.com/seo-site-audit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SEOmator — Free SEO Audit Tool (Core Web Vitals data): https://seomator.com/free-seo-audit-tool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NexalGrowth — SEO Site Audit 2026 Complete Guide: https://nexalgrowth.com/seo-site-audit/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Targos.io — SEO Audits 2026: What Really Matters: https://www.targos.io/en/blog/seo-audits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Red Rattler — Complete Website Audit Checklist 2026: https://redrattlercreative.com/complete-website-audit-checklist-2026/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Traffic Torch — SEO &amp; UX Audit Guide 2026: https://traffictorch.net/blog/posts/seo-ux-audit-help-guide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Reportr Agency — SEO Reporting Framework 2026: https://reportr.agency/blog/seo-reporting-framework-for-agencies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color="bdc3c7" w:space="8" w:sz="4" w:val="single"/>
        </w:pBdr>
        <w:jc w:val="center"/>
        <w:rPr/>
      </w:pPr>
      <w:r w:rsidDel="00000000" w:rsidR="00000000" w:rsidRPr="00000000">
        <w:rPr>
          <w:rFonts w:ascii="Arial" w:cs="Arial" w:eastAsia="Arial" w:hAnsi="Arial"/>
          <w:color w:val="5d6d7e"/>
          <w:sz w:val="18"/>
          <w:szCs w:val="18"/>
          <w:rtl w:val="0"/>
        </w:rPr>
        <w:t xml:space="preserve">© SiteSpector 2026 | Dokument wewnętrzny | Marzec 2026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pBdr>
        <w:top w:color="bdc3c7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5d6d7e"/>
        <w:sz w:val="16"/>
        <w:szCs w:val="16"/>
        <w:rtl w:val="0"/>
      </w:rPr>
      <w:t xml:space="preserve">sitespector.app  |  Dokument wewnętrzny  |  Marzec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pBdr>
        <w:bottom w:color="2e86c1" w:space="4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b w:val="1"/>
        <w:bCs w:val="1"/>
        <w:color w:val="1a5276"/>
        <w:sz w:val="18"/>
        <w:szCs w:val="18"/>
        <w:rtl w:val="0"/>
      </w:rPr>
      <w:t xml:space="preserve">SiteSpector</w:t>
    </w:r>
    <w:r w:rsidDel="00000000" w:rsidR="00000000" w:rsidRPr="00000000">
      <w:rPr>
        <w:rFonts w:ascii="Arial" w:cs="Arial" w:eastAsia="Arial" w:hAnsi="Arial"/>
        <w:color w:val="5d6d7e"/>
        <w:sz w:val="18"/>
        <w:szCs w:val="18"/>
        <w:rtl w:val="0"/>
      </w:rPr>
      <w:t xml:space="preserve">  |  Jak rozwiązujemy problemy?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276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27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86c1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IMyVW3SyW06Zc9d/UG9LOLPswQ==">CgMxLjAaJAoBMBIfCh0IB0IZCgVBcmlhbBIQQXJpYWwgVW5pY29kZSBNUzgAciExUjlxc1JnMUR1ZXQ0ZVF3VzhlMjRlSTlhYjJWNVZxbmI=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2026-03-08T01:52:15.923Z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