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6"/>
          <w:szCs w:val="56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6c1" w:space="16" w:sz="4" w:val="single"/>
        </w:pBd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0"/>
          <w:szCs w:val="40"/>
          <w:rtl w:val="0"/>
        </w:rPr>
        <w:t xml:space="preserve">DOKUMENTACJA STRATEGICZNA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36"/>
          <w:szCs w:val="36"/>
          <w:rtl w:val="0"/>
        </w:rPr>
        <w:t xml:space="preserve">PUNKT STARTOWY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2"/>
          <w:szCs w:val="22"/>
          <w:rtl w:val="0"/>
        </w:rPr>
        <w:t xml:space="preserve">11 dokumentów — kompletna strategia marketingowa, sprzedażowa i cenowa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tblGridChange w:id="0">
          <w:tblGrid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Dokumentów: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11 + niniejszy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KOMPLETNY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Zespół: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Dawid (dev) + Piotr (biznes)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Czym jest ten dokument?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Trzymasz w rękach punkt startowy do kompletnej dokumentacji strategicznej SiteSpector. Zestaw 11 dokumentów pokrywa całą strategię — od wizji produktu, przez grupę docelową, pozycjonowanie, komunikację, sprzedaż, aż po pricing i analizę konkurencji.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Każdy dokument jest samodzielny — można go czytać niezależnie. Ale razem tworzą spójną całość. Ten dokument mówi Ci w jakiej kolejności czytać, co znajdziesz w każdym, i dla kogo jest przeznaczony.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2e86c1" w:space="8" w:sz="6" w:val="single"/>
        </w:pBdr>
        <w:spacing w:after="180" w:before="18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Zacznij od tego dokumentu. Potem czytaj w kolejności 1–11. Każdy buduje na poprzednim.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86c1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SiteSpector w 60 sekund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SiteSpector (sitespector.app) to polska platforma B2B SaaS do profesjonalnych audytów SEO. Łączy w jednym narzędziu cztery kluczowe technologie branżowe: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026"/>
        <w:tblGridChange w:id="0">
          <w:tblGrid>
            <w:gridCol w:w="2000"/>
            <w:gridCol w:w="3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Technologia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 robi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Dlaczego ważna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Screaming Frog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Crawl SEO (30+ metryk technicznych)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Standard branżowy używany przez 80%+ profesjonalistów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Google 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Core Web Vitals (LCP, CLS, TBT) desktop +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Wydajność strony = czynnik rankingowy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Widoczność organiczna, backlinki, AI Overviews (PL)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Najlepsza baza polskich danych widoczności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Google Gemini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Analiza 9 obszarów + Execution Plan z kodem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AI który mówi JAK naprawić, nie tylko CO jest źle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Kluczowy differentiator: Execution Plan z gotowym kodem wdrożeniowym. Żaden konkurent na rynku nie oferuje gotowego kodu jako część audytu. Inne narzędzia mówią „masz problem”. SiteSpector mówi „masz problem, oto rozwiązanie, skopiuj ten kod”.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Status: produkcja, soft launch marzec 2026. Zespół: 2 osoby part-time + automatyzacja AI. Model: PLG (Product-Led Growth) + founder-led sales assist.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Mapa dokumentów — kolejność czytania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Dokumenty podzielone są na 3 bloki tematyczne. Czytaj kolejno — każdy dokument buduje na informacjach z poprzedniego.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4"/>
          <w:szCs w:val="24"/>
          <w:rtl w:val="0"/>
        </w:rPr>
        <w:t xml:space="preserve">██ BLOK A: FUNDAMENT (Kim jesteśmy? Komu pomagamy? Jak?)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Te 4 dokumenty definiują DNA produktu. Czytaj je pierwsze — bez nich reszta nie ma kontekstu.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Wizja i Misja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sitespector-wizja-misja.docx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Każdy w zespole, inwestorzy, partnerzy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Dlaczego SiteSpector istnieje, dokąd zmierza, i jakie miejsce chce zająć na rynku. Zawiera wizję (globalna platforma SEO zamieniająca dane w plany działania), misję, roadmapę 4-fazową, i dane rynkowe.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Wizja: od polskiego audytora SEO do globalnej platformy AI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Rynek SEO: $85B+ (2025), AI SEO tools: $2.5B (2026, 16% CAGR)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="240" w:lineRule="auto"/>
        <w:ind w:left="400" w:firstLine="0"/>
        <w:rPr/>
      </w:pPr>
      <w:sdt>
        <w:sdtPr>
          <w:id w:val="5097969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c2833"/>
              <w:sz w:val="17"/>
              <w:szCs w:val="17"/>
              <w:rtl w:val="0"/>
            </w:rPr>
            <w:t xml:space="preserve">• Roadmapa: Faza 0 (teraz) → Faza 4 (2028+, platforma ekosystem)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Kto jest naszym odbiorcą?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sitespector-kto-jest-naszym-odbiorca.docx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Marketing, sales, product,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7 segmentów klientów z persona cards: freelancerzy SEO (★ priorytet), małe agencje SEO, właściciele stron/e-commerce, in-house marketing managerowie, web developerzy. Dla każdego: ból, potrzeby, cykl decyzyjny, kanały, plan cenowy.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ICP: polska firma 1–20 os., $10–100/msc budget, freelancer/agencja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Priorytet #1: freelancerzy SEO (potwierdzeni w beta)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Matryca potrzeb per segment ze scoringiem ★★★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Jakie problemy mają nasi odbiorcy?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sitespector-problemy-i-potrzeby.docx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Product, marketing, copywriting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11 konkretnych problemów z severity (Krytyczny/Wysoki/Średni), mapowanie na segmenty, i matryca potrzeb. Centralny insight: „ostatni kilometr” audytu — nikt na rynku nie mówi JAK naprawiać z kodem.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Problem #1 (Krytyczny): audyt kończy się na liście błędów, brak planu działania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Problem #2: 4–5 osobnych narzędzi, brak integracji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Problem-Solution mapping: każdy problem → konkretna funkcja 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Jak rozwiązujemy problemy?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sitespector-jak-rozwiazujemy.docx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Product, sales, content, techniczny zespół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Pełny opis 3-fazowego user journey (URL → crawl+LH+Senuto → AI analiza 9 obszarów → Execution Plan). Post-audyt: dashboard, PDF (3 typy), Chat AI (RAG, 5 agentów), harmonogramy. 9 unikalnych elementów vs konkurencja.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line="240" w:lineRule="auto"/>
        <w:ind w:left="400" w:firstLine="0"/>
        <w:rPr/>
      </w:pPr>
      <w:sdt>
        <w:sdtPr>
          <w:id w:val="-9230708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c2833"/>
              <w:sz w:val="17"/>
              <w:szCs w:val="17"/>
              <w:rtl w:val="0"/>
            </w:rPr>
            <w:t xml:space="preserve">• 3 fazy audytu: techniczna (5–15 min) → AI (3–8 min) → Execution Plan (2–5 min)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9 unikalnych różniców (RAG Chat, Execution Plan z kodem, cross-tool korelacje)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Gap Analysis: co jest gotowe, co w roadmapie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1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██ BLOK B: KOMUNIKACJA I DOTARCIE (Jak mówimy? Gdzie? Do kogo?)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Te 4 dokumenty definiują jak komunikować wartość SiteSpector, w jakim tonie, jakimi kanałami, i jak prowadzić klienta od odkrycia do zakupu.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Gdzie się komunikujemy?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sitespector-gdzie-sie-komunikujemy.docx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Marketing, founder,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40" w:lineRule="auto"/>
        <w:ind w:left="200" w:right="200" w:firstLine="0"/>
        <w:rPr/>
      </w:pPr>
      <w:r w:rsidDel="00000000" w:rsidR="00000000" w:rsidRPr="00000000">
        <w:rPr>
          <w:rtl w:val="0"/>
        </w:rPr>
        <w:t xml:space="preserve">Ranking kanałów komunikacji (z priorytetem Meta Ads i remarketingiem Google) (z priorytetem Meta Ads i remarketingiem Google) z priorytetyzacją dla early-stage SaaS. LinkedIn founder-led content jako #1. Blog SEO, grupy branżowe, konferencje, email, Google Ads — z budżetem i ROI per kanał.</w:t>
      </w:r>
    </w:p>
    <w:p w:rsidR="00000000" w:rsidDel="00000000" w:rsidP="00000000" w:rsidRDefault="00000000" w:rsidRPr="00000000" w14:paraId="00000069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Early-stage SaaS: 60–70% organic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Founder-led content: 8x lepszy niż cold outbound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2 osoby part-time + AI automatyzacja = realistyczny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Tone of 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sitespector-tone-of-voice.docx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Każdy kto pisze w imieniu SiteSpector (content, social, email,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4D Voice Framework: 70% swobodny, 60% lekki, 55% szacunkowy, 65% rzeczowy. 5 słów marki. Tabela złe vs dobre (8 par). Ton per kanał (9 kanałów). Dwa głosy: Founder vs Marka. Gotowy AI Brand Voice system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5 słów: konkretny, bezpośredni, transparentny, wspierający, kompetentny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Benchmarki: Ahrefs (peer-level), Surfer SEO (autentyczność PL), Backlinko (prostota)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Gotowy system prompt do AI content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Ścieżka odbiorcy (Customer Journey)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sitespector-sciezka-odbiorcy.docx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Product, marketing, onboarding,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Model PLG z 4 ścieżkami per segment. „Aha moment” = wartość na własnej stronie już w freemium (demo + chat AI), a pełny Execution Plan po odblokowaniu planu płatnego. 5 momentów krytycznych z rozwiązaniami. Sekwencja onboardingowa 7 emaili (triggerowana zachowaniem, nie czasem).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Aha moment: Execution Plan z kodem dla własnej strony klienta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line="240" w:lineRule="auto"/>
        <w:ind w:left="400" w:firstLine="0"/>
        <w:rPr/>
      </w:pPr>
      <w:sdt>
        <w:sdtPr>
          <w:id w:val="-83351877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c2833"/>
              <w:sz w:val="17"/>
              <w:szCs w:val="17"/>
              <w:rtl w:val="0"/>
            </w:rPr>
            <w:t xml:space="preserve">• Benchmarki: visitor→signup 1.5–2.5%, activation ≥60%, free→paid ≥15%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7-krokowy email onboarding: każdy email ma konkretny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Cele i Mierniki (KPI)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sitespector-cele-i-mierniki.docx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Founder, strategia, analityka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North Star: MRR. AARRR framework z metrykami, benchmarkami i narzędziami. Cele per faza (0–3), per kanał, per segment. Stack pomiarowy. 7 leading indicators i 7 red flags z thresholdami. Kadencja raportowania.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North Star Metric: MRR (Monthly Recurring 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Red flags: np. activation &lt;40% = przebudować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="240" w:lineRule="auto"/>
        <w:ind w:left="400" w:firstLine="0"/>
        <w:rPr/>
      </w:pPr>
      <w:sdt>
        <w:sdtPr>
          <w:id w:val="-13623811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c2833"/>
              <w:sz w:val="17"/>
              <w:szCs w:val="17"/>
              <w:rtl w:val="0"/>
            </w:rPr>
            <w:t xml:space="preserve">• Kadencja: daily dashboard → weekly review → monthly deep dive → quarterly strategy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0"/>
        </w:rPr>
        <w:t xml:space="preserve">██ BLOK C: SPRZEDAŻ, CENA, KONKURENCJA (Jak sprzedajemy? Za ile? Kto obok nas?)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Te 3 dokumenty to operacyjne serce strategii — konkretne playbooki, cennik i mapa konkurentów.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Proces sprzedażowy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sitespector-proces-sprzedazowy.docx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Founder (sales), marketing,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PLG + founder-led sales assist. PQL scoring (3 poziomy). Dwie ścieżki: self-serve (80% klientów) i founder-led (20% klientów, 50%+ MRR). GOTOWE PLAYBOOKI: 3-emailowa sekwencja cold outreach, 15-min demo script, objection handling (8 obiekcji), pipeline 7 etapów.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Cold email sekwencja: 3 emaile gotowe do użycia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Demo script: 15 min, audyt strony KLIENTA (nie demo strony)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Budżet czasu foundera: 5–7h/tydzień na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Objection handling: 8 odpowiedzi („za drogo”, „mamy SF”, „AI to hype”)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Strategia cenowa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sitespector-strategia-cenowa.docx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Founder, produkt, finanse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4 tiery self-serve (Free / Solo $9.99 / Agency $29.99 / Enterprise $99) + plan Custom (API, kontakt handlowy) + credit-based model. System kredytów: 1 pełny audyt = 30 kr (20 techniczne + 10 AI), 1 chat = 1 kr. Dokupywanie paczek. Unit economics z marżami. Psychologia cenowa (anchoring, decoy effect, feature gating). Roadmapa cenowa. Implementacja techniczna.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" w:line="240" w:lineRule="auto"/>
        <w:ind w:left="400" w:firstLine="0"/>
        <w:rPr/>
      </w:pPr>
      <w:r w:rsidDel="00000000" w:rsidR="00000000" w:rsidRPr="00000000">
        <w:rPr>
          <w:rtl w:val="0"/>
        </w:rPr>
        <w:t xml:space="preserve">• Uniwersalna waluta: kredyty na audyty i chat AI; dokupywanie kredytów od planu Solo</w:t>
      </w:r>
    </w:p>
    <w:p w:rsidR="00000000" w:rsidDel="00000000" w:rsidP="00000000" w:rsidRDefault="00000000" w:rsidRPr="00000000" w14:paraId="000000A1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Marża brutto: 43–69% per plan (zdrowe dla early 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Decoy effect: Agency = „best value” (4x kredytów za 3x cenę)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15-punktowy checklist implementacji (Stripe, credit ledger, paywalle)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e86c1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Analiza konkurencji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📄 sitespector-analiza-konkurencji.docx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9"/>
          <w:szCs w:val="19"/>
          <w:rtl w:val="0"/>
        </w:rPr>
        <w:t xml:space="preserve">Dla kogo: </w:t>
      </w: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Founder, sales, marketing,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9"/>
          <w:szCs w:val="19"/>
          <w:rtl w:val="0"/>
        </w:rPr>
        <w:t xml:space="preserve">Ultra-szczegółowy raport: 15 konkurentów w 4 kategoriach. Pełne profile 11 konkurentów z indywidualnym SWOT. Mega feature matrix. SWOT SiteSpector. Plan reakcji na 7 scenariuszy. Mapy pozycjonowania. Battle cards vs top 5 konkurentów. System monitorowania.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18"/>
          <w:szCs w:val="18"/>
          <w:rtl w:val="0"/>
        </w:rPr>
        <w:t xml:space="preserve">Kluczowe elementy: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Najważniejsi: Senuto (partner+zagrożenie), SE Ranking (cena), Screaming Frog (przyzwyczajenie), Search Atlas (auto-execution)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SiteSpector = jedyny w kwadrancie „głęboki audyt + niska cena”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5 battle cards gotowych do sales (vs Ahrefs, SF, SE Ranking, Senuto, Search Atlas)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line="2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c2833"/>
          <w:sz w:val="17"/>
          <w:szCs w:val="17"/>
          <w:rtl w:val="0"/>
        </w:rPr>
        <w:t xml:space="preserve">• 7 scenariuszy „co jeśli” z konkretnymi reakcjami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Tabela szybkiego dostępu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Wszystkie dokumenty w jednej tabeli z nazwami plików: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3200"/>
        <w:gridCol w:w="800"/>
        <w:gridCol w:w="2226"/>
        <w:tblGridChange w:id="0">
          <w:tblGrid>
            <w:gridCol w:w="400"/>
            <w:gridCol w:w="2400"/>
            <w:gridCol w:w="3200"/>
            <w:gridCol w:w="8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Dokument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Stron 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Punkt startowy (ten dokument)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sitespector-punkt-startowy.docx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Wizja i Misja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sitespector-wizja-misja.docx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A: Fundament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Kto jest naszym odbiorcą?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sitespector-kto-jest-naszym-odbiorca.docx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A: Fundament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Problemy i potrzeby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sitespector-problemy-i-potrzeby.docx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A: Fundament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Jak rozwiązujemy problemy?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sitespector-jak-rozwiazujemy.docx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A: Fundament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Gdzie się komunikujemy?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sitespector-gdzie-sie-komunikujemy.docx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B: Komunikacja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Tone of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sitespector-tone-of-voice.docx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B: Komunikacja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Ścieżka odbiorcy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sitespector-sciezka-odbiorcy.docx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B: Komunikacja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Cele i Mierniki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sitespector-cele-i-mierniki.docx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B: Komunikacja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Proces sprzedażowy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sitespector-proces-sprzedazowy.docx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C: Sprzedaż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Strategia cenowa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sitespector-strategia-cenowa.docx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C: Sprzedaż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Analiza konkurencji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sitespector-analiza-konkurencji.docx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C: Sprzedaż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Jak korzystać z dokumentacji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Czytasz po raz pierwszy?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Przejdź dokumenty 1–11 po kolei. Całość zajmie 2–3 godziny. Po przeczytaniu będziesz mieć pełen obraz produktu, rynku, klienta, komunikacji, sprzedaży i ceny.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Szukasz konkretnej informacji?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Szukasz...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Otwórz dokument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Elevator pitch, dane rynkowe, roadmapa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#1 Wizja i Misja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Kto jest naszym klientem, persony, ICP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#2 Kto jest naszym odbiorcą?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Jakie problemy rozwiązujemy i dlaczego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#3 Problemy i potrzeby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 dokładnie robi produkt, lista funkcji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#4 Jak rozwiązujemy problemy?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Na jakich kanałach działamy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#5 Gdzie się komunikujemy?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Jak pisać w imieniu SiteSpector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#6 Tone of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Jak klient przechodzi od odkrycia do zakupu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#7 Ścieżka odbiorcy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Jakie KPI śledzimy i jakie mamy cele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#8 Cele i Mierniki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Jak sprzedajemy, email templates, demo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#9 Proces sprzedażowy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Cennik, kredyty, unit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#10 Strategia cenowa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Konkurenci, porównania, battle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#11 Analiza konkurencji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Jesteś nowym członkiem zespołu?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Zacznij od tego dokumentu, potem przeczytaj Blok A (dokumenty 1–4). To da Ci fundament. Potem przejdź do dokumentu najbardziej istotnego dla Twojej roli — np. #6 Tone of Voice jeśli piszesz content, #9 Proces sprzedażowy jeśli sprzedajesz, #10 Strategia cenowa jeśli pracujesz nad produktem.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Pracujesz z AI (ChatGPT, Claude, Gemini)?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Te dokumenty są idealne jako kontekst dla AI. Załaduj odpowiedni dokument do rozmowy z AI i poś go o pomoc w konkretnym zadaniu. Na przykład: załaduj #6 Tone of Voice + #12 Social Media żeby AI napisał post na LinkedIn w odpowiednim tonie. Albo załaduj #9 Proces sprzedażowy żeby AI pomogło Ci napisać spersonalizowany cold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2e86c1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Podsumowanie kluczowych decyzji strategicznych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4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Poniżej zebrane najważniejsze decyzje podjęte w ramach dokumentacji: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026"/>
        <w:tblGridChange w:id="0">
          <w:tblGrid>
            <w:gridCol w:w="2000"/>
            <w:gridCol w:w="3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Decyzja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Model GTM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PLG + founder-led sales 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Cursor osiągnął $200M ARR bez sales team. 65% B2B buyerów preferuje mix PLG +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4 tiery + kredyty (sub + usage hybrid)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43% SaaS firm stosuje hybrid w 2026. Kredyty kontrolują marżę i dają elastyczność.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Priorytetowy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Freelancerzy SEO (Faza 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Potwierdzeni w beta. Najkrótszy cykl decyzyjny. Najniższy CAC.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Kluczowy differentiator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Execution Plan z gotowym kodem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Jedyna platforma na rynku która daje kod wdrożeniowy jako część audytu.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50 kredytów/msc + top 10 zadań EP (teaser)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Pokazuje pełną wartość, ale prowadzi do upgrade. Benchmark: 9% free-to-paid w PLG.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Brak per-seat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Workspace members wliczone w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Kluczowy argument vs Ahrefs/SEMrush ($45–60/dodatkowy user).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Dane w 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Hetzner Niemcy (GDPR compliant)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Przewaga nad Ahrefs (Singapur), SEMrush (USA), SE Ranking (Ukraina).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Partner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Senuto = partner i potencjalne zagrożenie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7"/>
                <w:szCs w:val="17"/>
                <w:rtl w:val="0"/>
              </w:rPr>
              <w:t xml:space="preserve">Monitorować roadmapę Senuto. Budować wartość niezależną od ich danych.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bdc3c7"/>
          <w:sz w:val="28"/>
          <w:szCs w:val="28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Powodzenia z SiteSpector!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bdc3c7" w:space="8" w:sz="4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6"/>
          <w:szCs w:val="16"/>
          <w:rtl w:val="0"/>
        </w:rPr>
        <w:t xml:space="preserve">© SiteSpector 2026 | Dokumentacja strategiczna | Marzec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Bdr>
        <w:bottom w:color="2e86c1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8"/>
        <w:szCs w:val="18"/>
        <w:rtl w:val="0"/>
      </w:rPr>
      <w:t xml:space="preserve">  |  Dokumentacja strategiczna — Punkt startowy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/mm/WKIdtgBt5Uzfk1ItHoIzxw==">CgMxLjAaJAoBMBIfCh0IB0IZCgVBcmlhbBIQQXJpYWwgVW5pY29kZSBNUxokCgExEh8KHQgHQhkKBUFyaWFsEhBBcmlhbCBVbmljb2RlIE1TGiQKATISHwodCAdCGQoFQXJpYWwSEEFyaWFsIFVuaWNvZGUgTVMaJAoBMxIfCh0IB0IZCgVBcmlhbBIQQXJpYWwgVW5pY29kZSBNUzgAciExR1J0NDlpVU9JMFFtd04tUDJNYXNfRjI3bDdBZllQLW8=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2026-03-08T16:27:40.546Z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