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0" w:before="6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8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52"/>
          <w:szCs w:val="52"/>
          <w:rtl w:val="0"/>
        </w:rPr>
        <w:t xml:space="preserve">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86c1" w:space="12" w:sz="4" w:val="single"/>
        </w:pBd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Profesjonalna platforma audytów SEO z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60" w:lineRule="auto"/>
        <w:jc w:val="center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sz w:val="44"/>
          <w:szCs w:val="44"/>
          <w:rtl w:val="0"/>
        </w:rPr>
        <w:t xml:space="preserve">JAK WYGLĄDA ŚCIEŻKA ODBIORCY?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00" w:lineRule="auto"/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24"/>
          <w:szCs w:val="24"/>
          <w:rtl w:val="0"/>
        </w:rPr>
        <w:t xml:space="preserve">Od pierwszej wizyty do płacącego klienta — per segment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300" w:before="30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5000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3000"/>
        <w:tblGridChange w:id="0">
          <w:tblGrid>
            <w:gridCol w:w="2000"/>
            <w:gridCol w:w="3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Wersja: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1.2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Data: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Marzec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Dokument: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7 z 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Model: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PLG (Product-Led Growth)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1. Model konwersji SiteSpector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SiteSpector działa w modelu Product-Led Growth (PLG) — użytkownik doświadcza wartości produktu ZANIM porozmawia z salesem. To kluczowe, bo nasi odbiorcy (freelancerzy, agencje) chcą SPRAWDZIĆ narzędzie, nie „porozmawiać o ofercie”.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left w:color="2e86c1" w:space="8" w:sz="6" w:val="single"/>
        </w:pBdr>
        <w:spacing w:after="200" w:before="200" w:lineRule="auto"/>
        <w:ind w:left="480" w:right="480" w:firstLine="0"/>
        <w:rPr/>
      </w:pPr>
      <w:r w:rsidDel="00000000" w:rsidR="00000000" w:rsidRPr="00000000">
        <w:rPr>
          <w:rFonts w:ascii="Arial" w:cs="Arial" w:eastAsia="Arial" w:hAnsi="Arial"/>
          <w:i w:val="1"/>
          <w:iCs w:val="1"/>
          <w:color w:val="2e86c1"/>
          <w:sz w:val="24"/>
          <w:szCs w:val="24"/>
          <w:rtl w:val="0"/>
        </w:rPr>
        <w:t xml:space="preserve">Zasada #1: Wartość przed płatnością. Użytkownik musi doświadczyć „aha moment” — zobaczyć Execution Plan ze swoimi danymi — zanim poprosimy go o kartę.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Benchmarki rynkowe 2026 dla PLG SaaS: konwersja visitor-to-lead 1,5–2,5% (średnio), top 10% firm osiąga 8–15%. Trial-to-paid: 15–25% bez karty, 40–60% z kartą. Czas do first-value poniżej 5 minut podnosi konwersję powyżej 25%.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3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Uniwersalny funnel SiteSpector (5 kroków)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805"/>
        <w:gridCol w:w="1805"/>
        <w:gridCol w:w="1805"/>
        <w:gridCol w:w="1806"/>
        <w:gridCol w:w="1805"/>
        <w:tblGridChange w:id="0">
          <w:tblGrid>
            <w:gridCol w:w="1805"/>
            <w:gridCol w:w="1805"/>
            <w:gridCol w:w="1805"/>
            <w:gridCol w:w="1806"/>
            <w:gridCol w:w="180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2e86c1" w:space="0" w:sz="4" w:val="single"/>
              <w:right w:color="bdc3c7" w:space="0" w:sz="4" w:val="single"/>
            </w:tcBorders>
            <w:shd w:fill="ebf5fb" w:val="clear"/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7"/>
                <w:szCs w:val="17"/>
                <w:rtl w:val="0"/>
              </w:rPr>
              <w:t xml:space="preserve">1. Odkrycie</w:t>
              <w:br w:type="textWrapping"/>
              <w:t xml:space="preserve">(Awareness)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bdc3c7" w:space="0" w:sz="4" w:val="single"/>
              <w:bottom w:color="2e86c1" w:space="0" w:sz="4" w:val="single"/>
              <w:right w:color="bdc3c7" w:space="0" w:sz="4" w:val="single"/>
            </w:tcBorders>
            <w:shd w:fill="ebf5fb" w:val="clear"/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8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7"/>
                <w:szCs w:val="17"/>
                <w:rtl w:val="0"/>
              </w:rPr>
              <w:t xml:space="preserve">2. Rejestracja</w:t>
              <w:br w:type="textWrapping"/>
              <w:t xml:space="preserve">(Signup)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bdc3c7" w:space="0" w:sz="4" w:val="single"/>
              <w:bottom w:color="2e86c1" w:space="0" w:sz="4" w:val="single"/>
              <w:right w:color="bdc3c7" w:space="0" w:sz="4" w:val="single"/>
            </w:tcBorders>
            <w:shd w:fill="fff3cd" w:val="clear"/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9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7"/>
                <w:szCs w:val="17"/>
                <w:rtl w:val="0"/>
              </w:rPr>
              <w:t xml:space="preserve">3. Aha Moment</w:t>
              <w:br w:type="textWrapping"/>
              <w:t xml:space="preserve">(Activation)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bdc3c7" w:space="0" w:sz="4" w:val="single"/>
              <w:bottom w:color="2e86c1" w:space="0" w:sz="4" w:val="single"/>
              <w:right w:color="bdc3c7" w:space="0" w:sz="4" w:val="single"/>
            </w:tcBorders>
            <w:shd w:fill="ebf5fb" w:val="clear"/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7"/>
                <w:szCs w:val="17"/>
                <w:rtl w:val="0"/>
              </w:rPr>
              <w:t xml:space="preserve">4. Powracanie</w:t>
              <w:br w:type="textWrapping"/>
              <w:t xml:space="preserve">(Engagement)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2e86c1" w:space="0" w:sz="4" w:val="single"/>
              <w:left w:color="bdc3c7" w:space="0" w:sz="4" w:val="single"/>
              <w:bottom w:color="2e86c1" w:space="0" w:sz="4" w:val="single"/>
              <w:right w:color="2e86c1" w:space="0" w:sz="4" w:val="single"/>
            </w:tcBorders>
            <w:shd w:fill="d5f5e3" w:val="clear"/>
            <w:tcMar>
              <w:top w:w="120.0" w:type="dxa"/>
              <w:left w:w="60.0" w:type="dxa"/>
              <w:bottom w:w="120.0" w:type="dxa"/>
              <w:right w:w="60.0" w:type="dxa"/>
            </w:tcMar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a5276"/>
                <w:sz w:val="17"/>
                <w:szCs w:val="17"/>
                <w:rtl w:val="0"/>
              </w:rPr>
              <w:t xml:space="preserve">5. Płatność</w:t>
              <w:br w:type="textWrapping"/>
              <w:t xml:space="preserve">(Conversion)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60" w:line="300" w:lineRule="auto"/>
        <w:rPr/>
      </w:pPr>
      <w:r w:rsidDel="00000000" w:rsidR="00000000" w:rsidRPr="00000000">
        <w:rPr>
          <w:rtl w:val="0"/>
        </w:rPr>
        <w:t xml:space="preserve">„Aha moment” SiteSpector w modelu freemium = użytkownik widzi realne wyniki swojej strony (część raportu), korzysta z AI Chatu i widzi zablokowaną pełną analizę/Execution Plan, co naturalnie napędza upgrade.</w:t>
      </w:r>
    </w:p>
    <w:p w:rsidR="00000000" w:rsidDel="00000000" w:rsidP="00000000" w:rsidRDefault="00000000" w:rsidRPr="00000000" w14:paraId="0000001E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2. Ścieżka 1: Freelancer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e8449"/>
          <w:sz w:val="20"/>
          <w:szCs w:val="20"/>
          <w:rtl w:val="0"/>
        </w:rPr>
        <w:t xml:space="preserve">PRIORYTET NAJWYŻSZY — potwierdzony early adopter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Cykl decyzyjny: 1–7 dni. Decyduje sam. Wrażliwy cenowo ale rozumie wartość narzędzi.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000000" w:space="0" w:sz="0" w:val="nil"/>
              <w:right w:color="2e86c1" w:space="0" w:sz="4" w:val="single"/>
            </w:tcBorders>
            <w:shd w:fill="2e86c1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1: Odkrycie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Jak nas znajduje: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Google („audyt SEO narzędzie”, „Screening Frog alternatywa”), grupy FB (SEO/SEM Polska), LinkedIn (posty foundera), referencja od innego freelancera, konferencja (SEMcamp/MeetSEO)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Co widzi: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Landing page z wartością: „5 narzędzi w jednym. $9.99/msc”. Blog z artykułem porównawczym. Post foundera na LinkedIn o frustracji z narzędziami.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Kluczowa emocja: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Ciekawość: „Czy to naprawdę zastąpi moje 4 narzędzia?”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Unique visitors, CTR na CTA „Zacznij za darmo”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8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000000" w:space="0" w:sz="0" w:val="nil"/>
              <w:right w:color="e67e22" w:space="0" w:sz="4" w:val="single"/>
            </w:tcBorders>
            <w:shd w:fill="e67e22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2: Rejestracja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Trigger: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CTA „Zacznij za darmo” — bez karty kredytowej. Google/GitHub OAuth lub magic link.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Friction points: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Za dużo pól w formularzu, konieczność potwierdzenia emaila, niejasne co dostaje za darmo.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Jak minimalizujemy: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1-click signup (Google OAuth). Od razu workspace + projekt. Zero barier.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2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sdt>
              <w:sdtPr>
                <w:id w:val="625482804"/>
                <w:tag w:val="goog_rdk_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Rejestracje/msc, conversion rate visitor → signup (cel: 5–10%)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4" w:val="single"/>
              <w:bottom w:color="000000" w:space="0" w:sz="0" w:val="nil"/>
              <w:right w:color="1e8449" w:space="0" w:sz="4" w:val="single"/>
            </w:tcBorders>
            <w:shd w:fill="1e8449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sdt>
              <w:sdtPr>
                <w:id w:val="1229150359"/>
                <w:tag w:val="goog_rdk_1"/>
              </w:sdtPr>
              <w:sdtContent>
                <w:r w:rsidDel="00000000" w:rsidR="00000000" w:rsidRPr="00000000">
                  <w:rPr>
                    <w:rFonts w:ascii="Fira Mono" w:cs="Fira Mono" w:eastAsia="Fira Mono" w:hAnsi="Fira Mono"/>
                    <w:b w:val="1"/>
                    <w:bCs w:val="1"/>
                    <w:color w:val="ffffff"/>
                    <w:sz w:val="24"/>
                    <w:szCs w:val="24"/>
                    <w:rtl w:val="0"/>
                  </w:rPr>
                  <w:t xml:space="preserve">KROK 3: Aha Moment (⭐ kluczowy)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Definicja: </w:t>
            </w:r>
            <w:sdt>
              <w:sdtPr>
                <w:id w:val="1403453440"/>
                <w:tag w:val="goog_rdk_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Freelancer wpisuje URL swojego klienta → 30 min → widzi Execution Plan z gotowym kodem dla TEJ strony.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Cel czasowy: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Od rejestracji do pierwszego ukończonego audytu: poniżej 1 godziny. Research: time-to-first-value pod 5 minut = konwersja +25%.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Onboarding: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Email powitalny: 3 kroki (utwórz projekt → nowy audyt → wpisz URL). In-app: guided flow z tooltipami. Dzień 2: email „Twój pierwszy audyt czeka” jeśli nie uruchomił.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Wow factor: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PDF raport który może od razu wysłać klientowi. Execution Plan z kodem. Chat AI o wynikach po polsku.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1e8449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Activation rate: % userów którzy ukończyli audyt w 7 dni (cel: ≥60%)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e44ad" w:space="0" w:sz="4" w:val="single"/>
              <w:left w:color="8e44ad" w:space="0" w:sz="4" w:val="single"/>
              <w:bottom w:color="000000" w:space="0" w:sz="0" w:val="nil"/>
              <w:right w:color="8e44ad" w:space="0" w:sz="4" w:val="single"/>
            </w:tcBorders>
            <w:shd w:fill="8e44ad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4: Powracanie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e44ad" w:space="0" w:sz="4" w:val="single"/>
              <w:bottom w:color="e8e8e8" w:space="0" w:sz="4" w:val="single"/>
              <w:right w:color="8e44ad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Trigger do powrotu: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Nowy klient freelancera = nowy audyt. Harmonogram automatyczny. Email: „Twój miesięczny audyt jest gotowy”.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e44ad" w:space="0" w:sz="4" w:val="single"/>
              <w:bottom w:color="e8e8e8" w:space="0" w:sz="4" w:val="single"/>
              <w:right w:color="8e44ad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Sticky features: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Harmonogramy automatyczne, PDF raporty per klient, workspace z historią audytów, Chat AI.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e44ad" w:space="0" w:sz="4" w:val="single"/>
              <w:bottom w:color="e8e8e8" w:space="0" w:sz="4" w:val="single"/>
              <w:right w:color="8e44ad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Sygnały engagement: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Liczba audytów, PDF pobranych, pytań w chat AI, harmonogramów ustawionych.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8e44ad" w:space="0" w:sz="4" w:val="single"/>
              <w:bottom w:color="8e44ad" w:space="0" w:sz="4" w:val="single"/>
              <w:right w:color="8e44ad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MAU (Monthly Active Users), audyty per user/msc, PDF per user/msc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4" w:val="single"/>
              <w:bottom w:color="000000" w:space="0" w:sz="0" w:val="nil"/>
              <w:right w:color="1e8449" w:space="0" w:sz="4" w:val="single"/>
            </w:tcBorders>
            <w:shd w:fill="1e8449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5: Konwersja na płatny plan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Trigger do upgrade: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Chęć odblokowania pełnego raportu i wyczerpanie darmowych kredytów startowych.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Plan docelowy: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Solo ($9.99) → Agency ($29.99) gdy rośnie. Brak opłat per seat.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3F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Nudge: Email dzień 14: „Odblokuj pełny raport i dokup kredyty” + in-app upgrade prompt przy zblurowanych sekcjach.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Obiekcje: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„Za drogo” → Kalkulator: $9.99 vs $500+/msc na osobne narzędzia. „Nie wiem czy potrzebuję” → Free tier bez limitu czasowego.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1e8449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sdt>
              <w:sdtPr>
                <w:id w:val="-1532610820"/>
                <w:tag w:val="goog_rdk_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Free-to-paid conversion (cel: ≥15%), CAC (cel: ≤$40), MRR per user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3. Ścieżka 2: Mała agencja SEO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2e86c1"/>
          <w:sz w:val="20"/>
          <w:szCs w:val="20"/>
          <w:rtl w:val="0"/>
        </w:rPr>
        <w:t xml:space="preserve">PRIORYTET WYSOKI — cel Fazy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Cykl decyzyjny: 1–4 tygodnie. Decyduje CEO/właściciel. Trial z 2–3 klientami przed decyzją.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000000" w:space="0" w:sz="0" w:val="nil"/>
              <w:right w:color="2e86c1" w:space="0" w:sz="4" w:val="single"/>
            </w:tcBorders>
            <w:shd w:fill="2e86c1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1: Odkrycie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Jak nas znajduje: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LinkedIn outreach od foundera, referencja od freelancera, konferencja SEMcamp, Google („narzędzie do audytów SEO dla agencji”), landing /dla-agencji-seo.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Co musi zobaczyć: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„Jeden panel dla wielu klientów. Brak opłat per seat. PDF raporty w 1 klik.” Porównanie kosztów: 5 narzędzi vs SiteSpector.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Kluczowa emocja: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Oszczędność: „Mogę obsłużyć więcej klientów bez większego zespołu?”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000000" w:space="0" w:sz="0" w:val="nil"/>
              <w:right w:color="e67e22" w:space="0" w:sz="4" w:val="single"/>
            </w:tcBorders>
            <w:shd w:fill="e67e22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2: Ewaluacja (dłuższa niż freelancer)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Co robi: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Rejestruje się. Testuje na 2–3 stronach klientów. Porównuje wyniki z dotychczasowymi narzędziami. Pokazuje PDF raport zespołowi.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Kryteria oceny: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Jakość crawla vs. Screaming Frog. Jakość PDF vs. ręczny raport. Pokrycie Senuto vs. osobna subskrypcja. Execution Plan — czy klienci to rozumieją.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4F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Jak wspieramy: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Demo na żywo (15 min, URL klienta agencji). Email sequence z case study. Dostęp do support@ dla pytań technicznych.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Liczba audytów w trial (cel: ≥3 różne URL), czas w trial (1—2 tygodnie)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4" w:val="single"/>
              <w:bottom w:color="000000" w:space="0" w:sz="0" w:val="nil"/>
              <w:right w:color="1e8449" w:space="0" w:sz="4" w:val="single"/>
            </w:tcBorders>
            <w:shd w:fill="1e8449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3: Aha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Definicja: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Agencja wysyła pierwszy PDF raport SiteSpector REALNEMU klientowi — i klient mówi „wow, to profesjonalne”.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Dlaczego to działa: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Agencja widzi że oszczędza 4–8 godzin na raportowaniu per klient. Standaryzacja — każdy w zespole robi audyt tak samo.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1e8449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Pierwszy PDF wygenerowany i pobrany. Drugi audyt na innym kliencie.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6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4" w:val="single"/>
              <w:bottom w:color="000000" w:space="0" w:sz="0" w:val="nil"/>
              <w:right w:color="1e8449" w:space="0" w:sz="4" w:val="single"/>
            </w:tcBorders>
            <w:shd w:fill="1e8449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4: Konwersja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Trigger: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Koniec trial / wyczerpanie limitu. Potrzeba workspaceów per klient. Harmonogramy automatyczne.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Plan docelowy: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Agency ($29.99) → Enterprise ($99) przy wzroście. Dodatkowe kredyty na audyty.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A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Obiekcje: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„Muszę porozmawiać z zespołem” → PDF z porównaniem kosztów do przekazania. „Czy dane są bezpieczne?” → EU (Hetzner), GDPR, izolacja workspaceów.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1e8449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5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sdt>
              <w:sdtPr>
                <w:id w:val="427966914"/>
                <w:tag w:val="goog_rdk_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Trial-to-paid (cel: ≥20%), ACV (Average Contract Value), time-to-close (cel: ≤4 tygodnie)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C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4. Ścieżka 3: Właściciel strony / e-commerce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0"/>
          <w:szCs w:val="20"/>
          <w:rtl w:val="0"/>
        </w:rPr>
        <w:t xml:space="preserve">PRIORYTET ŚREDNI — Faza 2 (skalowanie)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Cykl decyzyjny: 1–14 dni. Decyduje sam. Potrzebuje edukacji — nie wie czym jest crawl ani LCP.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000000" w:space="0" w:sz="0" w:val="nil"/>
              <w:right w:color="2e86c1" w:space="0" w:sz="4" w:val="single"/>
            </w:tcBorders>
            <w:shd w:fill="2e86c1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1: Odkrycie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Jak nas znajduje: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Google („jak sprawdzić SEO strony”, „dlaczego strona nie jest w Google”), Facebook (grupy e-commerce), reklama Google Ads, referencja od freelancera/agencji z Fazy 1.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3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Co musi zobaczyć: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Prostota: „Wpisz URL → dowiedz się co poprawić”. Zero żargonu na landing page. Przykładowy Executive Summary — „tak wygląda twój raport”.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Kluczowa emocja: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Ciekawość + ulga: „Nareszcie coś co mi POWIE co zrobić”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000000" w:space="0" w:sz="0" w:val="nil"/>
              <w:right w:color="e67e22" w:space="0" w:sz="4" w:val="single"/>
            </w:tcBorders>
            <w:shd w:fill="e67e22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2: Rejestracja + Pierwszy audyt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Specyfika: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Ten segment często rejestruje się I robi audyt w jednej sesji — bo przyszedł z konkretnym zamiarem („sprawdź swoją stronę”).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Friction points: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Nie wie co to „projekt” w kontekście narzędzia. Nie rozumie czemu audyt trwa 30 minut. Może się zniecierpliwić.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9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Jak wspieramy: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Uproszczony flow: „Wpisz URL i czekaj”. Progress bar z etapami. Email gdy audyt gotowy. Tooltips przy każdym terminie technicznym.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A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4" w:val="single"/>
              <w:bottom w:color="000000" w:space="0" w:sz="0" w:val="nil"/>
              <w:right w:color="1e8449" w:space="0" w:sz="4" w:val="single"/>
            </w:tcBorders>
            <w:shd w:fill="1e8449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3: Aha Moment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Definicja: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Właściciel widzi Executive Summary: „Twoja strona ma score 62/100. Oto 3 rzeczy do naprawy dziś.” Rozumie bez pomocy eksperta.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Wow factor: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Quick Wins — lista 3–5 rzeczy które może zrobić sam lub zlecić deweloperowi. Chat AI: „Wytłumacz mi co to znaczy” po polsku.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1e8449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6E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Czas na stronie wyników, kliknięcia w Quick Wins, pytania w Chat AI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F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4" w:val="single"/>
              <w:bottom w:color="000000" w:space="0" w:sz="0" w:val="nil"/>
              <w:right w:color="1e8449" w:space="0" w:sz="4" w:val="single"/>
            </w:tcBorders>
            <w:shd w:fill="1e8449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4: Konwersja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7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Trigger: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Chce powtarzać audyt po zmianach. Chce zweryfikować agencję. Chce PDF dla partnera/inwestora.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7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Plan docelowy: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Free → Solo ($9.99). Niższy ACV ale wysoki wolumen.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73">
            <w:pPr>
              <w:spacing w:line="280" w:lineRule="auto"/>
              <w:rPr/>
            </w:pPr>
            <w:r w:rsidDel="00000000" w:rsidR="00000000" w:rsidRPr="00000000">
              <w:rPr>
                <w:rtl w:val="0"/>
              </w:rPr>
              <w:t xml:space="preserve">Obiekcje: „Nie znam się na SEO” → Chat AI tłumaczy widoczne problemy po ludzku. „Nie wiem czy to się opłaca” → Darmowy audyt demo + 20 wiadomości chatu przed zakupem.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1e8449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74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sdt>
              <w:sdtPr>
                <w:id w:val="-1915018456"/>
                <w:tag w:val="goog_rdk_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color w:val="1c2833"/>
                    <w:sz w:val="20"/>
                    <w:szCs w:val="20"/>
                    <w:rtl w:val="0"/>
                  </w:rPr>
                  <w:t xml:space="preserve">Free-to-paid (cel: ≥10%), CAC (cel: ≤$30 via Google Ads)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5. Ścieżka 4: Marketing Manager / In-house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e67e22"/>
          <w:sz w:val="20"/>
          <w:szCs w:val="20"/>
          <w:rtl w:val="0"/>
        </w:rPr>
        <w:t xml:space="preserve">PRIORYTET ŚREDNI — Faza 2–3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Cykl decyzyjny: 2–8 tygodni. Często wymaga akceptacji przełożonego. Potrzebuje ROI i executive summary.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2e86c1" w:space="0" w:sz="4" w:val="single"/>
              <w:left w:color="2e86c1" w:space="0" w:sz="4" w:val="single"/>
              <w:bottom w:color="000000" w:space="0" w:sz="0" w:val="nil"/>
              <w:right w:color="2e86c1" w:space="0" w:sz="4" w:val="single"/>
            </w:tcBorders>
            <w:shd w:fill="2e86c1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1: Odkrycie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7B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Jak nas znajduje: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LinkedIn (post foundera o weryfikacji agencji), Google („jak sprawdzić agencję SEO”, „audyt SEO dla zarządu”), referencja od agencji która używa SiteSpector.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e8e8e8" w:space="0" w:sz="4" w:val="single"/>
              <w:right w:color="2e86c1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7C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Co musi zobaczyć: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Executive Summary — raport zrozumiały dla CEO. Benchmark vs. konkurencja. Landing /dla-managerow i /sprawdz-agencje-seo.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2e86c1" w:space="0" w:sz="4" w:val="single"/>
              <w:bottom w:color="2e86c1" w:space="0" w:sz="4" w:val="single"/>
              <w:right w:color="2e86c1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7D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Kluczowa emocja: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Kontrola: „Nareszcie mogę zweryfikować co robi moja agencja”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e67e22" w:space="0" w:sz="4" w:val="single"/>
              <w:left w:color="e67e22" w:space="0" w:sz="4" w:val="single"/>
              <w:bottom w:color="000000" w:space="0" w:sz="0" w:val="nil"/>
              <w:right w:color="e67e22" w:space="0" w:sz="4" w:val="single"/>
            </w:tcBorders>
            <w:shd w:fill="e67e22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2: Ewaluacja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80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Co robi: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Robi audyt strony firmowej. Porównuje wyniki z raportem agencji. Pokazuje Executive Summary przełożonemu.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8e8e8" w:space="0" w:sz="4" w:val="single"/>
              <w:right w:color="e67e22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81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Kryteria: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Czy raport jest zrozumiały dla CEO? Czy mogę pokazać benchmark vs. konkurencja? Czy dane są wiarygodne (SF + Lighthouse + Senuto)?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e67e22" w:space="0" w:sz="4" w:val="single"/>
              <w:bottom w:color="e67e22" w:space="0" w:sz="4" w:val="single"/>
              <w:right w:color="e67e22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82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Czas w trial, PDF pobrane, czy dodał konkurentów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spacing w:after="40" w:before="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26"/>
        <w:tblGridChange w:id="0">
          <w:tblGrid>
            <w:gridCol w:w="9026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1e8449" w:space="0" w:sz="4" w:val="single"/>
              <w:left w:color="1e8449" w:space="0" w:sz="4" w:val="single"/>
              <w:bottom w:color="000000" w:space="0" w:sz="0" w:val="nil"/>
              <w:right w:color="1e8449" w:space="0" w:sz="4" w:val="single"/>
            </w:tcBorders>
            <w:shd w:fill="1e8449" w:val="clear"/>
            <w:tcMar>
              <w:top w:w="100.0" w:type="dxa"/>
              <w:left w:w="300.0" w:type="dxa"/>
              <w:bottom w:w="100.0" w:type="dxa"/>
              <w:right w:w="30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KROK 3: Konwersja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85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Trigger: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Potrzeba regularnego monitoringu (harmonogramy). Raport kwartalny dla zarządu. Zmiana agencji SEO (potrzeba baseline).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86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Plan docelowy: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Agency ($29.99) → Enterprise ($99). Możliwy procurement process.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e8e8e8" w:space="0" w:sz="4" w:val="single"/>
              <w:right w:color="1e8449" w:space="0" w:sz="4" w:val="single"/>
            </w:tcBorders>
            <w:shd w:fill="ebf5fb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87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Specyfika: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Może potrzebować: faktura VAT, umowa, SLA. Dłuższy cykl zakupowy. Wartość per klient wyższa.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1e8449" w:space="0" w:sz="4" w:val="single"/>
              <w:bottom w:color="1e8449" w:space="0" w:sz="4" w:val="single"/>
              <w:right w:color="1e8449" w:space="0" w:sz="4" w:val="single"/>
            </w:tcBorders>
            <w:shd w:fill="ffffff" w:val="clear"/>
            <w:tcMar>
              <w:top w:w="80.0" w:type="dxa"/>
              <w:left w:w="300.0" w:type="dxa"/>
              <w:bottom w:w="80.0" w:type="dxa"/>
              <w:right w:w="300.0" w:type="dxa"/>
            </w:tcMar>
          </w:tcPr>
          <w:p w:rsidR="00000000" w:rsidDel="00000000" w:rsidP="00000000" w:rsidRDefault="00000000" w:rsidRPr="00000000" w14:paraId="00000088">
            <w:pPr>
              <w:spacing w:line="280" w:lineRule="auto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5d6d7e"/>
                <w:sz w:val="20"/>
                <w:szCs w:val="20"/>
                <w:rtl w:val="0"/>
              </w:rPr>
              <w:t xml:space="preserve">Metryka: </w:t>
            </w:r>
            <w:r w:rsidDel="00000000" w:rsidR="00000000" w:rsidRPr="00000000">
              <w:rPr>
                <w:rFonts w:ascii="Arial" w:cs="Arial" w:eastAsia="Arial" w:hAnsi="Arial"/>
                <w:color w:val="1c2833"/>
                <w:sz w:val="20"/>
                <w:szCs w:val="20"/>
                <w:rtl w:val="0"/>
              </w:rPr>
              <w:t xml:space="preserve">Trial-to-paid (cel: ≥15%), ACV (wyższy niż freelancer), time-to-close (cel: ≤8 tygodni)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6. Benchmarki konwersji — cele SiteSpector vs. rynek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Poniższe cele bazują na benchmarkach rynkowych 2025–2026 dla B2B SaaS w modelu PLG: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600"/>
        <w:gridCol w:w="2142"/>
        <w:gridCol w:w="2142"/>
        <w:gridCol w:w="2142"/>
        <w:tblGridChange w:id="0">
          <w:tblGrid>
            <w:gridCol w:w="2600"/>
            <w:gridCol w:w="2142"/>
            <w:gridCol w:w="2142"/>
            <w:gridCol w:w="214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Metryka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Średnia rynkowa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Top 10%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 SiteSpector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sdt>
              <w:sdtPr>
                <w:id w:val="-872350286"/>
                <w:tag w:val="goog_rdk_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Visitor → Signup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1,5–2,5%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8–15%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5–10%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sdt>
              <w:sdtPr>
                <w:id w:val="800348563"/>
                <w:tag w:val="goog_rdk_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Signup → Activation (audyt w 7 dni)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25–40%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50–60%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/>
            </w:pPr>
            <w:sdt>
              <w:sdtPr>
                <w:id w:val="260622500"/>
                <w:tag w:val="goog_rdk_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≥60%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sdt>
              <w:sdtPr>
                <w:id w:val="-268564971"/>
                <w:tag w:val="goog_rdk_9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Free → Paid (freelancerzy)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10–15%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20–25%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C">
            <w:pPr>
              <w:jc w:val="center"/>
              <w:rPr/>
            </w:pPr>
            <w:sdt>
              <w:sdtPr>
                <w:id w:val="-1682761017"/>
                <w:tag w:val="goog_rdk_1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≥15%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sdt>
              <w:sdtPr>
                <w:id w:val="1723550163"/>
                <w:tag w:val="goog_rdk_11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Trial → Paid (agencje)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15–25%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9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25–35%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0">
            <w:pPr>
              <w:jc w:val="center"/>
              <w:rPr/>
            </w:pPr>
            <w:sdt>
              <w:sdtPr>
                <w:id w:val="-1559086232"/>
                <w:tag w:val="goog_rdk_12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≥20%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Time to first value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2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5–15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3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&lt; 5 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&lt; 60 min (audyt)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Monthly churn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6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3–5%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7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&lt; 1%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8">
            <w:pPr>
              <w:jc w:val="center"/>
              <w:rPr/>
            </w:pPr>
            <w:sdt>
              <w:sdtPr>
                <w:id w:val="950730716"/>
                <w:tag w:val="goog_rdk_13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≤5%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CAC (freelancer)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A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$30–60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B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$15–30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C">
            <w:pPr>
              <w:jc w:val="center"/>
              <w:rPr/>
            </w:pPr>
            <w:sdt>
              <w:sdtPr>
                <w:id w:val="-1731087000"/>
                <w:tag w:val="goog_rdk_14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≤$40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D">
            <w:pPr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CAC (agencja)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$50–100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A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$30–50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/>
            </w:pPr>
            <w:sdt>
              <w:sdtPr>
                <w:id w:val="472507356"/>
                <w:tag w:val="goog_rdk_1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b w:val="1"/>
                    <w:bCs w:val="1"/>
                    <w:color w:val="1c2833"/>
                    <w:sz w:val="18"/>
                    <w:szCs w:val="18"/>
                    <w:rtl w:val="0"/>
                  </w:rPr>
                  <w:t xml:space="preserve">≤$60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1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Kluczowa obserwacja: najważniejsza metryka to Signup → Activation. Jeśli użytkownik NIE ukończy pierwszego audytu, nic dalej się nie wydarzy. Dlatego onboarding i time-to-first-value są priorytetem #1.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7. Momenty krytyczne — gdzie tracimy ludzi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Na podstawie benchmarków PLG SaaS, identyfikujemy 5 punktów w których użytkownicy najczęściej odpadają: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sdt>
        <w:sdtPr>
          <w:id w:val="-730162875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c28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Landing page → Signup —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Niejasna propozycja wartości, za dużo tekstu, słabe CTA, brak social proof. Fix: clear hero („5 narzędzi w jednym”), jeden CTA above the fold, testimoniale (gdy będą).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sdt>
        <w:sdtPr>
          <w:id w:val="-12176630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c28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Signup → Pierwszy audyt —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Użytkownik nie wie co robić po rejestracji. Zbyt skomplikowany flow. Fix: guided onboarding, email dzień 0 z 3 krokami, in-app prompt „Utwórz pierwszy audyt”.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sdt>
        <w:sdtPr>
          <w:id w:val="434376320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c28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Audyt w toku → Rezygnacja —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Audyt trwa 30 minut — użytkownik zamyka tab. Fix: email/push „Twój audyt jest gotowy!”, progress bar, estimated time.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sdt>
        <w:sdtPr>
          <w:id w:val="1878097044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i w:val="0"/>
              <w:iCs w:val="0"/>
              <w:smallCaps w:val="0"/>
              <w:strike w:val="0"/>
              <w:color w:val="1c2833"/>
              <w:sz w:val="22"/>
              <w:szCs w:val="22"/>
              <w:u w:val="none"/>
              <w:shd w:fill="auto" w:val="clear"/>
              <w:vertAlign w:val="baseline"/>
              <w:rtl w:val="0"/>
            </w:rPr>
            <w:t xml:space="preserve">Wyniki → Powrót — </w:t>
          </w:r>
        </w:sdtContent>
      </w:sdt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Użytkownik zobaczył wyniki raz i nie wraca. Fix: harmonogramy automatyczne, email „Twój miesięczny raport”, nowe dane z Senuto co miesiąc.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40" w:before="0" w:line="30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c2833"/>
          <w:sz w:val="22"/>
          <w:szCs w:val="22"/>
          <w:u w:val="none"/>
          <w:shd w:fill="auto" w:val="clear"/>
          <w:vertAlign w:val="baseline"/>
          <w:rtl w:val="0"/>
        </w:rPr>
        <w:t xml:space="preserve">• Free → Paid — Nie widzi powodu do upgrade. Fix: Zblurowane 80% raportu działa jako naturalny paywall. Użytkownik widzi, że dane tam są, ale musi zapłacić, by je zobaczyć. Brak możliwości dokupienia kredytów w planie Free wymusza upgrade.</w:t>
      </w:r>
    </w:p>
    <w:p w:rsidR="00000000" w:rsidDel="00000000" w:rsidP="00000000" w:rsidRDefault="00000000" w:rsidRPr="00000000" w14:paraId="000000BB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Heading1"/>
        <w:spacing w:after="180" w:before="36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8. Sekwencja onboardingowa — framework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Automatyczna sekwencja emailów dopasowana do zachowania użytkownika:</w:t>
      </w:r>
      <w:r w:rsidDel="00000000" w:rsidR="00000000" w:rsidRPr="00000000">
        <w:rPr>
          <w:rtl w:val="0"/>
        </w:rPr>
      </w:r>
    </w:p>
    <w:tbl>
      <w:tblPr>
        <w:tblStyle w:val="Table20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00"/>
        <w:gridCol w:w="2200"/>
        <w:gridCol w:w="2813"/>
        <w:gridCol w:w="2813"/>
        <w:tblGridChange w:id="0">
          <w:tblGrid>
            <w:gridCol w:w="1200"/>
            <w:gridCol w:w="2200"/>
            <w:gridCol w:w="2813"/>
            <w:gridCol w:w="281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E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Dzień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Trigger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1a5276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sz w:val="18"/>
                <w:szCs w:val="18"/>
                <w:rtl w:val="0"/>
              </w:rPr>
              <w:t xml:space="preserve">Cel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Rejestracja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4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„Witaj — 3 kroki do pierwszego audytu”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Activation: utwórz projekt, wpisz URL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Brak audytu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„Twój pierwszy audyt czeka”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Push do activation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Audyt ukończony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„Co znalazł twój audyt? Zacznij od Quick Wins”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Engagement: pokaż wartość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E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CF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Aktywny 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0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„3 funkcje których jeszcze nie użyłeś”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1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Deepening: PDF, Chat AI, konkurenci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2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3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Nieaktywny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4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Pytanie: „Co stanęło na przeszkodzie?”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5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Feedback + re-engagement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6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7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Aktywny Free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8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Odblokuj pełny raport i dokup kredyty. Solo: $9.99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9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Conversion nudge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A">
            <w:pPr>
              <w:spacing w:line="260" w:lineRule="auto"/>
              <w:jc w:val="center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30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B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c2833"/>
                <w:sz w:val="18"/>
                <w:szCs w:val="18"/>
                <w:rtl w:val="0"/>
              </w:rPr>
              <w:t xml:space="preserve">Płacący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C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Czy potrzebujesz harmonogramów?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dc3c7" w:space="0" w:sz="4" w:val="single"/>
              <w:left w:color="bdc3c7" w:space="0" w:sz="4" w:val="single"/>
              <w:bottom w:color="bdc3c7" w:space="0" w:sz="4" w:val="single"/>
              <w:right w:color="bdc3c7" w:space="0" w:sz="4" w:val="single"/>
            </w:tcBorders>
            <w:shd w:fill="ebf5fb" w:val="clear"/>
            <w:tcMar>
              <w:top w:w="100.0" w:type="dxa"/>
              <w:left w:w="140.0" w:type="dxa"/>
              <w:bottom w:w="100.0" w:type="dxa"/>
              <w:right w:w="140.0" w:type="dxa"/>
            </w:tcMar>
          </w:tcPr>
          <w:p w:rsidR="00000000" w:rsidDel="00000000" w:rsidP="00000000" w:rsidRDefault="00000000" w:rsidRPr="00000000" w14:paraId="000000DD">
            <w:pPr>
              <w:spacing w:line="260" w:lineRule="auto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color w:val="1c2833"/>
                <w:sz w:val="18"/>
                <w:szCs w:val="18"/>
                <w:rtl w:val="0"/>
              </w:rPr>
              <w:t xml:space="preserve">Upsell + retention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E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160" w:line="300" w:lineRule="auto"/>
        <w:rPr/>
      </w:pPr>
      <w:r w:rsidDel="00000000" w:rsidR="00000000" w:rsidRPr="00000000">
        <w:rPr>
          <w:rFonts w:ascii="Arial" w:cs="Arial" w:eastAsia="Arial" w:hAnsi="Arial"/>
          <w:color w:val="1c2833"/>
          <w:sz w:val="22"/>
          <w:szCs w:val="22"/>
          <w:rtl w:val="0"/>
        </w:rPr>
        <w:t xml:space="preserve">Kluczowa zasada: segmentuj po zachowaniu, nie po czasie. Użytkownik który zrobił 3 audyty w dzień 1 jest w innym miejscu niż ten który nie zalogował się od rejestracji. Research: segmentowane emaile +35% konwersja vs. generyczne.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Bdr>
          <w:bottom w:color="bdc3c7" w:space="1" w:sz="4" w:val="single"/>
        </w:pBdr>
        <w:spacing w:after="300" w:before="3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2"/>
        <w:spacing w:after="180" w:before="240" w:lineRule="auto"/>
        <w:rPr/>
      </w:pPr>
      <w:r w:rsidDel="00000000" w:rsidR="00000000" w:rsidRPr="00000000">
        <w:rPr>
          <w:rFonts w:ascii="Arial" w:cs="Arial" w:eastAsia="Arial" w:hAnsi="Arial"/>
          <w:b w:val="1"/>
          <w:bCs w:val="1"/>
          <w:color w:val="1a5276"/>
          <w:rtl w:val="0"/>
        </w:rPr>
        <w:t xml:space="preserve">Źródła z linkami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SaaS Hero — 2026 B2B SaaS Conversion Benchmarks Across Customer Journey: https://www.saashero.net/customer-retention/b2b-saas-conversion-benchmarks-journey/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Pixelswithin — B2B SaaS Conversion Benchmarks + Revenue Gap Analysis 2026: https://pixelswithin.com/b2b-saas-conversion-benchmarks-2026/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CausalFunnel — 2026 B2B SaaS Funnel Conversion Benchmarks Guide: https://www.causalfunnel.com/blog/b2b-saas-funnel-conversion-benchmarks-2026-data-insights/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ConversionXperts — B2B Conversion Rate Benchmarks 2026 Guide: https://conversionxperts.com/b2b-conversion-rate-benchmarks-the-complete-2026-guide/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Martal Group — Conversion Rate Statistics 2026: https://martal.ca/conversion-rate-statistics-lb/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Contentsquare — 5 Stages of B2B SaaS Marketing Funnel: https://contentsquare.com/guides/marketing-funnel/saas/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Userpilot — B2B SaaS Funnel Conversion Benchmarks: https://userpilot.com/blog/b2b-saas-funnel-conversion-benchmarks/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60" w:line="240" w:lineRule="auto"/>
        <w:ind w:left="360" w:firstLine="0"/>
        <w:rPr/>
      </w:pPr>
      <w:r w:rsidDel="00000000" w:rsidR="00000000" w:rsidRPr="00000000">
        <w:rPr>
          <w:rFonts w:ascii="Arial" w:cs="Arial" w:eastAsia="Arial" w:hAnsi="Arial"/>
          <w:color w:val="5d6d7e"/>
          <w:sz w:val="17"/>
          <w:szCs w:val="17"/>
          <w:rtl w:val="0"/>
        </w:rPr>
        <w:t xml:space="preserve">DiscoveringSaaS — B2B SaaS Conversion Rate Benchmarks: https://discoveringsaas.com/business-development/b2b-saas-conversion-rate-benchmarks/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200" w:before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pBdr>
          <w:top w:color="bdc3c7" w:space="8" w:sz="4" w:val="single"/>
        </w:pBdr>
        <w:jc w:val="center"/>
        <w:rPr/>
      </w:pPr>
      <w:r w:rsidDel="00000000" w:rsidR="00000000" w:rsidRPr="00000000">
        <w:rPr>
          <w:rFonts w:ascii="Arial" w:cs="Arial" w:eastAsia="Arial" w:hAnsi="Arial"/>
          <w:color w:val="5d6d7e"/>
          <w:sz w:val="18"/>
          <w:szCs w:val="18"/>
          <w:rtl w:val="0"/>
        </w:rPr>
        <w:t xml:space="preserve">© SiteSpector 2026 | Dokument wewnętrzny | Marzec 2026</w:t>
      </w: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  <w:font w:name="Fira Mono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D">
    <w:pPr>
      <w:pBdr>
        <w:top w:color="bdc3c7" w:space="4" w:sz="4" w:val="single"/>
      </w:pBdr>
      <w:jc w:val="center"/>
      <w:rPr/>
    </w:pPr>
    <w:r w:rsidDel="00000000" w:rsidR="00000000" w:rsidRPr="00000000">
      <w:rPr>
        <w:rFonts w:ascii="Arial" w:cs="Arial" w:eastAsia="Arial" w:hAnsi="Arial"/>
        <w:color w:val="5d6d7e"/>
        <w:sz w:val="16"/>
        <w:szCs w:val="16"/>
        <w:rtl w:val="0"/>
      </w:rPr>
      <w:t xml:space="preserve">sitespector.app  |  Dokument wewnętrzny  |  Marzec 2026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EC">
    <w:pPr>
      <w:pBdr>
        <w:bottom w:color="2e86c1" w:space="4" w:sz="4" w:val="single"/>
      </w:pBdr>
      <w:jc w:val="right"/>
      <w:rPr/>
    </w:pPr>
    <w:r w:rsidDel="00000000" w:rsidR="00000000" w:rsidRPr="00000000">
      <w:rPr>
        <w:rFonts w:ascii="Arial" w:cs="Arial" w:eastAsia="Arial" w:hAnsi="Arial"/>
        <w:b w:val="1"/>
        <w:bCs w:val="1"/>
        <w:color w:val="1a5276"/>
        <w:sz w:val="18"/>
        <w:szCs w:val="18"/>
        <w:rtl w:val="0"/>
      </w:rPr>
      <w:t xml:space="preserve">SiteSpector</w:t>
    </w:r>
    <w:r w:rsidDel="00000000" w:rsidR="00000000" w:rsidRPr="00000000">
      <w:rPr>
        <w:rFonts w:ascii="Arial" w:cs="Arial" w:eastAsia="Arial" w:hAnsi="Arial"/>
        <w:color w:val="5d6d7e"/>
        <w:sz w:val="18"/>
        <w:szCs w:val="18"/>
        <w:rtl w:val="0"/>
      </w:rPr>
      <w:t xml:space="preserve">  |  Ścieżka odbiorcy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•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1c2833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80" w:before="36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60" w:before="24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527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86c1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c2833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FiraMono-regular.ttf"/><Relationship Id="rId2" Type="http://schemas.openxmlformats.org/officeDocument/2006/relationships/font" Target="fonts/FiraMon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8DX5p5+0yz/GBeDYKCJ/MbUP7EA==">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2026-03-08T09:30:09.201Z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