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0" w:before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12" w:sz="4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2"/>
          <w:szCs w:val="22"/>
          <w:rtl w:val="0"/>
        </w:rPr>
        <w:t xml:space="preserve">Profesjonalna platforma audytów SEO z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4"/>
          <w:szCs w:val="44"/>
          <w:rtl w:val="0"/>
        </w:rPr>
        <w:t xml:space="preserve">STRATEGIA CENOWA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0"/>
          <w:szCs w:val="20"/>
          <w:rtl w:val="0"/>
        </w:rPr>
        <w:t xml:space="preserve">4 tiery + credit-based model — research-backed pricing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Wersja: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Dokument: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10 z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Model: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Subskrypcja + Kredyty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DO FINALIZACJI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SiteSpector wdraża model cenowy oparty na dwóch filarach: subskrypcja (4 tiery) + uniwersalne kredyty (do audytów i chat AI). Model łączy przewidywalność przychodów z elastycznością usage-based, co jest zgodne z dominującym trendem B2B SaaS 2026 (43% firm stosuje hybrid pricing, wg Chargebee 2025 State of Subscriptions).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Kluczowe decyzje cenowe: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4 tiery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Free / Solo $9.99 / Agency $29.99 / Enterprise $99 — optymalne price jumps (3x / 3x / 3.3x), decoy effect naprowadza na Agency jako „best value”.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Kredyty jako waluta — Każdy plan zawiera pulę kredytów miesięcznie. Kredyty zużywane na audyty (30 kr/audyt) i chat AI (1 kr/wiadomość). Można dokupować niezależnie od planu.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Free = audyt demo — 1 audyt startowy (zblurowane 80% raportu) + chat AI. Pełny raport/Execution Plan odblokowuje plan płatny.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Brak opłat per seat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Agencja 10 osób płaci tyle samo co agencja 2 osób. To kluczowy differentiator vs Ahrefs/SEMrush ($45–60/dodatkowy user).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Cel: 100 płacących &gt; 10 000 darmowych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Pricing optymalizowany pod jakość konwersji i marżę, nie ilość signupów.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2. System kredytów — uniwersalna waluta 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2.1. Czym są kredyty?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Kredyty to wewnętrzna waluta SiteSpector. Użytkownik zużywa kredyty na dwa rodzaje akcji: uruchomienie audytu SEO oraz rozmowę z agentem AI (RAG Chat). Każdy plan subskrypcyjny zawiera miesięczną pulę kredytów, a dodatkowo kredyty można dokupować w dowolnym momencie.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2.2. Przelicznik kredytów (rekomendacja)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Poniższy przelicznik uwzględnia realne koszty operacyjne SiteSpector per akcja: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400"/>
        <w:gridCol w:w="1800"/>
        <w:gridCol w:w="2826"/>
        <w:tblGridChange w:id="0">
          <w:tblGrid>
            <w:gridCol w:w="3000"/>
            <w:gridCol w:w="1400"/>
            <w:gridCol w:w="1800"/>
            <w:gridCol w:w="2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Koszt kredytów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Realny koszt SiteSpector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Uzasadnienie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audyt SEO (pełny: SF + LH + Senuto + AI + Execution 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kredytów (20 techniczne + 10 AI)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~$0.15–$0.30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Senuto API (~20 endpointów) + Gemini analiza 9 obszarów + Execution Plan + embeddings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wiadomość chat AI (RAG 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 kredyt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~$0.002–$0.005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Gemini API call + Qdrant vector search + kontekst audytu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audyt konkurenta (Lighthouse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3 kredyty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~$0.02–$0.05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Lighthouse desktop + mobile, porównanie z główną stroną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raport PDF (Executive / Standard / 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0 kredytów (wliczone)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WeasyPrint, niski koszt serwera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Ustawienie harmonogramu audytu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0 kredytów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Cron job, bez kosztu zmiennego (audyt zużywa kredyty normalnie)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2.3. Dlaczego 30 kredytów per audyt?</w:t>
      </w:r>
    </w:p>
    <w:p w:rsidR="00000000" w:rsidDel="00000000" w:rsidP="00000000" w:rsidRDefault="00000000" w:rsidRPr="00000000" w14:paraId="0000003E">
      <w:pPr>
        <w:spacing w:after="140" w:line="280" w:lineRule="auto"/>
        <w:rPr/>
      </w:pPr>
      <w:r w:rsidDel="00000000" w:rsidR="00000000" w:rsidRPr="00000000">
        <w:rPr>
          <w:rtl w:val="0"/>
        </w:rPr>
        <w:t xml:space="preserve">Przelicznik 30:1 (audyt:chat) jest optymalny z trzech powodów: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Proporcja kosztów — Audyt kosztuje ~$0.20 (60–70x więcej niż wiadomość chat ~$0.003). Przelicznik 30:1 niedoszacowuje proporcję (powinno być ~60:1), ale celowo faworyzujemy chat — więcej chatu = więcej engagement = lepsza retencja.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Prostota — Użytkownik łatwo liczy: Solo = 100 kredytów = 3 audyty LUB 100 wiadomości LUB mix. Brak złożoności.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Psychologia — 100 kredytów brzmi lepiej niż „3 audyty i 10 wiadomości”. Użytkownik czuje większy value. Benchmark: Cursor IDE przeszedł na „credit pool” z identycznym uzasadnieniem.</w:t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2.4. Dokupywanie kredytów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200"/>
        <w:gridCol w:w="1600"/>
        <w:gridCol w:w="3026"/>
        <w:tblGridChange w:id="0">
          <w:tblGrid>
            <w:gridCol w:w="2000"/>
            <w:gridCol w:w="1200"/>
            <w:gridCol w:w="1200"/>
            <w:gridCol w:w="16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Paczka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Kredyty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Cena per kredyt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Ilość audytów equiv.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Starter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$4.99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~1.5 audytu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Standard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$12.99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$0.087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audytów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Pro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$34.99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$0.070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~16 audytów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Agency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$89.99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$0.060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 audytów</w:t>
            </w:r>
          </w:p>
        </w:tc>
      </w:tr>
    </w:tbl>
    <w:p w:rsidR="00000000" w:rsidDel="00000000" w:rsidP="00000000" w:rsidRDefault="00000000" w:rsidRPr="00000000" w14:paraId="0000005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Kluczowe zasady dokupywania: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Dostępne od planu Solo (Free nie może dokupować kredytów). To upraszcza freemium i wzmacnia ścieżkę upgrade.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Ważność 90 dni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Dokupione kredyty nie przepadają po miesiącu. Ważne przez 90 dni od zakupu (model Ahrefs PAYG).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Najpierw zużyj miesięczne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Kredyty z planu zużywają się pierwsze. Dokupione = rezerwa. Miesięczne nie przechodzią na następny miesiąc.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Volume discount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Im większa paczka, tym tańszy kredyt. Zachęca do większych zakupów.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3. Cennik — 4 tiery subskrypcyjne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1600"/>
        <w:gridCol w:w="2426"/>
        <w:tblGridChange w:id="0">
          <w:tblGrid>
            <w:gridCol w:w="2200"/>
            <w:gridCol w:w="1400"/>
            <w:gridCol w:w="1400"/>
            <w:gridCol w:w="16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5d6d7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SOLO $9.99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e844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AGENCY $29.99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67e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ENTERPRISE $99 (self-serve)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Cena miesięczna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Cena roczna (per msc)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$7.99 (20% 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$23.99 (20% 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$79 (20% 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Kredyty / miesiąc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 startowych (jednorazowo)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= audytów equiv.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audyt + 20 chat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~3 audyty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~13 audytów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~66 audytów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= chat msgs equiv.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Execution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Top 10 zadań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Pełny (do 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Pełny (do 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Pełny (do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AI analiza (9 obszarów)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Top 3 obszary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✅ pełna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✅ pełna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✅ pełna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Chat AI (RAG, 5 agentów)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116196973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(limit kredytów)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5917364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43140270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8640427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Raporty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3 formaty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formaty + Branding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formaty + White-label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Analiza konkurentów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 konkurent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Do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Workspace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 (osobisty)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Harmonogramy audytów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185188796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25594885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(1 aktywny)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14810969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(5 aktywnych)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157991800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unlimited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API dostęp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32629936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33145883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208895127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 (roadmap)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sz w:val="16"/>
                <w:szCs w:val="16"/>
              </w:rPr>
            </w:pPr>
            <w:sdt>
              <w:sdtPr>
                <w:id w:val="22683585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❌ (Custom: ✅)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White-label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151352738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203663520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6770982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$49/msc add-on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SLA / dedykowane wsparcie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11774033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7383423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122625243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70274802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Dane w EU (GDPR)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73331652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157857433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76796894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200721990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Dokupywanie kredytów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sz w:val="16"/>
                <w:szCs w:val="16"/>
              </w:rPr>
            </w:pPr>
            <w:sdt>
              <w:sdtPr>
                <w:id w:val="-170650273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❌ (need Solo)</w:t>
                </w:r>
              </w:sdtContent>
            </w:sdt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84989539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125301560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16"/>
                <w:szCs w:val="16"/>
              </w:rPr>
            </w:pPr>
            <w:sdt>
              <w:sdtPr>
                <w:id w:val="-139655696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Plan Custom (API, integracje, dedykowane wdrożenie) jest wyceniany indywidualnie i obsługiwany przez „Skontaktuj się”.</w:t>
      </w:r>
    </w:p>
    <w:p w:rsidR="00000000" w:rsidDel="00000000" w:rsidP="00000000" w:rsidRDefault="00000000" w:rsidRPr="00000000" w14:paraId="000000C2">
      <w:pPr>
        <w:pBdr>
          <w:left w:color="2e86c1" w:space="6" w:sz="6" w:val="single"/>
        </w:pBdr>
        <w:spacing w:after="160" w:before="1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2"/>
          <w:szCs w:val="22"/>
          <w:rtl w:val="0"/>
        </w:rPr>
        <w:t xml:space="preserve">„Best value” = Agency $29.99. Decoy effect: Solo za $9.99 daje 100 kredytów, Agency za 3x cenę daje 4x kredytów + 10 memberów + 5 konkurentów + 5 harmonogramów. Większość agencji i aktywnych freelancerów wybierze Agency.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4. Unit economics — marże i break-even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4.1. Koszty operacyjne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3626"/>
        <w:tblGridChange w:id="0">
          <w:tblGrid>
            <w:gridCol w:w="3200"/>
            <w:gridCol w:w="2200"/>
            <w:gridCol w:w="3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Koszt miesięczny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Hetzner VPS CPX42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~€65/msc (~$70)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8 vCPU, 16GB RAM. Skalowalne.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$25/msc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Pro tier (auth, DB, RLS)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Screaming Frog licencja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~$22/msc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199 GBP/rok /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Domena +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~$3/msc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Let's Encrypt free SSL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ŁĄCZNIE STAŁE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~$120/msc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Niezależne od ilości klientów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4826"/>
        <w:tblGridChange w:id="0">
          <w:tblGrid>
            <w:gridCol w:w="2400"/>
            <w:gridCol w:w="18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Koszt zmienny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Składowe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audyt pełny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~$0.20–$0.30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Senuto API (~$0.08–0.15) + Gemini analiza ($0.05–0.20) + Gemini embeddings ($0.01–0.03) + Lighthouse (serwer, ~$0.01)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wiadomość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~$0.002–$0.005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Gemini API call + Qdrant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audyt konkurenta (LH)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~$0.02–$0.05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Lighthouse desktop +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 raport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WeasyPrint, CPU chwilowy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4.2. Marża brutto per plan (scenariusz: użytkownik zużywa 80% kredytów)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000"/>
        <w:gridCol w:w="1800"/>
        <w:gridCol w:w="1600"/>
        <w:gridCol w:w="1200"/>
        <w:gridCol w:w="1200"/>
        <w:gridCol w:w="626"/>
        <w:tblGridChange w:id="0">
          <w:tblGrid>
            <w:gridCol w:w="1600"/>
            <w:gridCol w:w="1000"/>
            <w:gridCol w:w="1800"/>
            <w:gridCol w:w="1600"/>
            <w:gridCol w:w="1200"/>
            <w:gridCol w:w="1200"/>
            <w:gridCol w:w="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Przychód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Kredyty (80%)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Koszt zmienny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Udział kosztów stałych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Marża brutto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Marża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Solo $9.99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80 kr = ~2.6 audytu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$0.52–$0.78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$7.71–$7.97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77–80%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Agency $29.99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320 kr = ~10.6 audytu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$2.12–$3.18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$23.81–$24.87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79–83%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Enterprise 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1600 kr = ~53 audyty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$10.60–$15.90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$75.10–$80.40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75–81%</w:t>
            </w:r>
          </w:p>
        </w:tc>
      </w:tr>
    </w:tbl>
    <w:p w:rsidR="00000000" w:rsidDel="00000000" w:rsidP="00000000" w:rsidRDefault="00000000" w:rsidRPr="00000000" w14:paraId="000001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Wniosek: przy 80% utilization, każdy plan generuje minimum ~43% marży brutto. To zdrowe dla wczesnego SaaS. Cel docelowy: 60–70% marży brutto (osiągalny przez optymalizację kosztów API i skalowanie bazy klientów).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40" w:line="280" w:lineRule="auto"/>
        <w:rPr/>
      </w:pPr>
      <w:r w:rsidDel="00000000" w:rsidR="00000000" w:rsidRPr="00000000">
        <w:rPr>
          <w:rtl w:val="0"/>
        </w:rPr>
        <w:t xml:space="preserve">ALERT: Enterprise przy pełnym zużyciu (2000 kr = ~66 audytów) generuje bezpieczną marżę. Model 30 kr/audyt ogranicza ryzyko heavy-userów.</w:t>
      </w:r>
    </w:p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4.3. Break-even analysis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1400"/>
        <w:gridCol w:w="3026"/>
        <w:tblGridChange w:id="0">
          <w:tblGrid>
            <w:gridCol w:w="2600"/>
            <w:gridCol w:w="2000"/>
            <w:gridCol w:w="14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Wymagana ilość klientów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Break-even (koszty stałe)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~5 Agency + 5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~$200/msc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Pokrywa $120/msc kosztów stałych + zapas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Founder salary ($2k/msc each)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25 Agency + 15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~$900/msc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 founderów × $2k = $4k. +koszty stałe = $4.12k. ~900 MRR netto.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Target Faza 1: $1.5k 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50 płacących (mix)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Realistyczne: 50 klientów, śr. $30/klient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Target Faza 2: $6–8k 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200 płacących (mix)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$6,000–$8,000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Skalowanie organic + 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Target Faza 3: $20k+ 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400–600 płacących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$20,000+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Dedykowany sales + 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5. Psychologia cenowa — architektura pricing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5.1. Anchoring i decoy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Struktura 4 tierów celowo wykorzystuje anchoring: Enterprise $99 sprawia że Agency $29.99 wygląda na okazję. Solo $9.99 jest „decoy” — wystarczająco tani żeby przyciągnąć, ale Agency oferuje 4x kredytów za 3x cenę + team + harmonogramy. Większość kupujących wybierze Agency.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Research 2026 potwierdza: optymalne price jumps to 15–30% między tierami wartościowo i 50–100% do premium (Ibbaka). Nasze jumps: $9.99 → $29.99 (3x, agresywne ale uzasadnione value) → $99 (3.3x, enterprise premium).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5.2. Feature gating — co naprowadza na upgrade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200"/>
        <w:gridCol w:w="2826"/>
        <w:tblGridChange w:id="0">
          <w:tblGrid>
            <w:gridCol w:w="2000"/>
            <w:gridCol w:w="2000"/>
            <w:gridCol w:w="2200"/>
            <w:gridCol w:w="2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Trigger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sdt>
              <w:sdtPr>
                <w:id w:val="-108872910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Free → Solo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sdt>
              <w:sdtPr>
                <w:id w:val="45095626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Solo → Agency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sdt>
              <w:sdtPr>
                <w:id w:val="49131278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Agency → Enterprise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Limit kredytów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50 kr = 1 audyt + chat (demo)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100 kr = ~3 audyty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400 kr = ~13 audytów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Execution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Top 10 zadań = teaser. User widzi „...i jeszcze 47 zadań w pełnej wersji”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Pełny — nie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Pełny — nie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 osoba. Chce dodać klienta/partnera?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 osoby. Agencja 5 osób?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10 osób. Duży team? Enterprise.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Harmonogramy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❌. Chce automatyzować?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 harmonogram. Więcej klientów?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5 harmonogramów. Unlimited? Enterprise.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Konkurenci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1. Chce porównać 3?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3. Więcej?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5. 10? Enterprise.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White-label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/>
            </w:pPr>
            <w:sdt>
              <w:sdtPr>
                <w:id w:val="6571655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/>
            </w:pPr>
            <w:sdt>
              <w:sdtPr>
                <w:id w:val="164417100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/>
            </w:pPr>
            <w:sdt>
              <w:sdtPr>
                <w:id w:val="-84409484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❌. Enterprise add-on.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5.3. Free tier strategy — „ogarnięty teaser”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Free tier musi być wystarczająco dobry żeby użytkownik zobaczył wartość, ale ograniczony w sposób który naturalnie prowadzi do upgrade. Research (ProductLed, 2022): średni free-to-paid conversion to 9% w PLG. Z PQL scoring: 3x wyższy (25%+). Dlatego: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• 50 kredytów startowych = 1 pełny audyt + 20 wiadomości chat AI — Wystarczy na przetestowanie platformy na jednej stronie. Użytkownik widzi zblurowany raport (wydmuszkę). Po wyczerpaniu kredytów nie może ich dokupić — musi przejść na plan Solo.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Top 10 zadań z Execution Plan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User widzi najważniejsze 10 tasków z kodem. Pod nimi: „🔒 Odblokuj pełny Execution Plan (47 zadań więcej) — od $9.99/msc”. Klasyczny teaser.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AI analiza: top 3 z 9 obszarów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Pokrywamy SEO, Performance, Visibility. Pozostałe 6 (AI Overviews, Backlinks, Links, Images, Security, UX) = paywall. User widzi że są — ale musi zapłacić.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• Chat AI: działa, ale limit kredytów szybko się wyczerpie — Wystarczy żeby poczuć wartość RAG Chatu na zblurowanym raporcie. Potem: „Zrób upgrade do Solo, aby dokupić kredyty”.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6. Benchmarki rynkowe — SiteSpector vs konkurencja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1400"/>
        <w:gridCol w:w="1000"/>
        <w:gridCol w:w="1400"/>
        <w:gridCol w:w="1426"/>
        <w:tblGridChange w:id="0">
          <w:tblGrid>
            <w:gridCol w:w="1600"/>
            <w:gridCol w:w="1200"/>
            <w:gridCol w:w="1400"/>
            <w:gridCol w:w="1000"/>
            <w:gridCol w:w="1400"/>
            <w:gridCol w:w="1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Narzędzie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Najtaniej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Per-seat?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SiteSpector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$9.99 (Solo)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$29.99 (Agency)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 + kredyty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Ahrefs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$29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$249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$1,499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 + kredyty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TAK ($45–60)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SEMrush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$139.95 (Pro)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$249.95 (Guru)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$499.95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TAK ($45–60)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SE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$39 (Essential)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$95 (Pro)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 + add-ons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TAK (w Pro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Mangools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$29 (Entry)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$44 (Premium)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Ograniczone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Senuto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€39 (Lite)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€159 (Advanced)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€399 (Prime)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 + Senucoins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Search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$99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$199 (Growth)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Per site ($69)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Screaming Frog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$259/rok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Licencja roczna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Per maszyna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Sitebulb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$13.50/msc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$35/msc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$245/msc (Cloud)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Per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2e86c1" w:space="6" w:sz="6" w:val="single"/>
        </w:pBdr>
        <w:spacing w:after="160" w:before="1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2"/>
          <w:szCs w:val="22"/>
          <w:rtl w:val="0"/>
        </w:rPr>
        <w:t xml:space="preserve">SiteSpector Agency ($29.99) jest tańsze niż najtaniejszy plan SEMrush ($139.95), Ahrefs Lite ($129), SE Ranking Pro ($95), Search Atlas ($99) i Senuto Basic (€79). A oferuje głębszy audyt techniczny niż którekolwiek z nich.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6.1. Kalkulator oszczędności — argument sprzedażowy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426"/>
        <w:tblGridChange w:id="0">
          <w:tblGrid>
            <w:gridCol w:w="3200"/>
            <w:gridCol w:w="24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 zastępuje SiteSpector?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Koszt miesięczny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SiteSpector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Screaming Frog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~85 PLN/msc (199 GBP/rok)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/>
            </w:pPr>
            <w:sdt>
              <w:sdtPr>
                <w:id w:val="97431211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Wbudowany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Senuto 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€79/msc (~340 PLN)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/>
            </w:pPr>
            <w:sdt>
              <w:sdtPr>
                <w:id w:val="-148519753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Wbudowany (API)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ChatGPT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$20/msc (~80 PLN)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/>
            </w:pPr>
            <w:sdt>
              <w:sdtPr>
                <w:id w:val="68999951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Wbudowany (Gemini RAG)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Lighthouse (czas pracy)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~2h/audyt × 100 PLN/h = 200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/>
            </w:pPr>
            <w:sdt>
              <w:sdtPr>
                <w:id w:val="58560284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Automatyczny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Ręczne łączenie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~1h/audyt × 100 PLN = 100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/>
            </w:pPr>
            <w:sdt>
              <w:sdtPr>
                <w:id w:val="-5654435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Automatyczny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Generator raportów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~1h/raport × 100 PLN = 100 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/>
            </w:pPr>
            <w:sdt>
              <w:sdtPr>
                <w:id w:val="-167399494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✅ 1-click PDF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ŁĄCZNIE BEZ SiteSpector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~905 PLN/msc (~$225)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SiteSpector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$29.99/msc (~120 PLN)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💰 OSZCZĘDNOŚĆ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~785 PLN/msc (87%)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7. Metryki konwersji — benchmarki i cele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800"/>
        <w:gridCol w:w="3026"/>
        <w:tblGridChange w:id="0">
          <w:tblGrid>
            <w:gridCol w:w="2200"/>
            <w:gridCol w:w="2000"/>
            <w:gridCol w:w="18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Benchmark B2B SaaS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Cel SiteSpector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Jak osiągnąć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jc w:val="left"/>
              <w:rPr/>
            </w:pPr>
            <w:sdt>
              <w:sdtPr>
                <w:id w:val="-80762945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6"/>
                    <w:szCs w:val="16"/>
                    <w:rtl w:val="0"/>
                  </w:rPr>
                  <w:t xml:space="preserve">Visitor → Free signup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2–5% (median)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3–5%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Landing page z „audyt w 30 sekund”, zero friction (Google OAuth)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jc w:val="left"/>
              <w:rPr/>
            </w:pPr>
            <w:sdt>
              <w:sdtPr>
                <w:id w:val="-201779096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6"/>
                    <w:szCs w:val="16"/>
                    <w:rtl w:val="0"/>
                  </w:rPr>
                  <w:t xml:space="preserve">Free → Activated (1 audyt)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40–60%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/>
            </w:pPr>
            <w:sdt>
              <w:sdtPr>
                <w:id w:val="-170488734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≥60%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Guided onboarding, auto-URL, email dzień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line="240" w:lineRule="auto"/>
              <w:jc w:val="left"/>
              <w:rPr/>
            </w:pPr>
            <w:sdt>
              <w:sdtPr>
                <w:id w:val="114743261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6"/>
                    <w:szCs w:val="16"/>
                    <w:rtl w:val="0"/>
                  </w:rPr>
                  <w:t xml:space="preserve">Free → Paid (freemium)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2–5% (median), 9% z PQL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8–12% (z PQL)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PQL scoring: 3 audyty + PDF + chat = hot lead. Top 10 Execution Plan = teaser.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jc w:val="left"/>
              <w:rPr/>
            </w:pPr>
            <w:sdt>
              <w:sdtPr>
                <w:id w:val="-208327499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6"/>
                    <w:szCs w:val="16"/>
                    <w:rtl w:val="0"/>
                  </w:rPr>
                  <w:t xml:space="preserve">Trial → Paid (opt-in, no CC)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15–20%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15–20%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14-dniowy trial Solo/Agency bez karty (alternatywa do freemium)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Monthly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3–7% (early 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Onboarding email 7-krokowy, harmonogramy = sticky, kredyty =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ARPU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Zależny od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$25–35/msc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Agency jako dominant tier + credit upsell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LTV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12–18 msc × ARPU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$300–$600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Harmonogramy + historia audytów = switching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$30–60 (PLG organic)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&lt;$40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Organic: blog SEO + LinkedIn. Paid: Meta Ads + Google remarketing.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LTV:CAC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/>
            </w:pPr>
            <w:sdt>
              <w:sdtPr>
                <w:id w:val="202496912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≥3:1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/>
            </w:pPr>
            <w:sdt>
              <w:sdtPr>
                <w:id w:val="-211194410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≥5:1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Organiczny acquisition + niski churn + credit upsell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8. Pricing page — copywriting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8.1. Headline + 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24"/>
          <w:szCs w:val="24"/>
          <w:rtl w:val="0"/>
        </w:rPr>
        <w:t xml:space="preserve">Headline: „Profesjonalny audyt SEO. Cena, która ma sens.”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Subheadline: „Screening Frog + Lighthouse + Senuto + AI Gemini w jednym narzędziu. Od $0/msc. Bez opłat per seat.”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8.2. Struktura pricing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1. Toggle: Miesięcznie / Rocznie (20% off)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Roczna opcja wyświetla cenę per miesiąc z przekreśloną ceną miesięczną.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2. 4 karty planów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Free (szary), Solo (niebieski), Agency (zielony, „NAJPOPULARNIEJSZY” badge), Enterprise (pomarańczowy).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3. Tabela porównawcza pod kartami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Pełna matryca funkcji z checkmarkami.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4. Kalkulator oszczędności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Interaktywny: „Ile narzędzi SEO używasz?” → wyliczenie oszczędności vs SiteSpector.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5. Sekcja kredytów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„Potrzebujesz więcej? Dokup kredyty.” + tabela paczek.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6. FAQ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6–8 pytań (patrz sekcja 10).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7. CTA końcowy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„Zacznij za darmo — audyt demo + AI Chat, bez karty kredytowej.”</w:t>
      </w:r>
    </w:p>
    <w:p w:rsidR="00000000" w:rsidDel="00000000" w:rsidP="00000000" w:rsidRDefault="00000000" w:rsidRPr="00000000" w14:paraId="000001E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8.3. Komunikaty per tier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2000"/>
        <w:gridCol w:w="3226"/>
        <w:tblGridChange w:id="0">
          <w:tblGrid>
            <w:gridCol w:w="1400"/>
            <w:gridCol w:w="2400"/>
            <w:gridCol w:w="20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„Poznaj SiteSpector za darmo”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„Zacznij za darmo”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Każdy — niski próg wejścia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„Dla freelancerów i małych stron”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„Wybierz Solo”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Freelancer, właściciel strony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Agency 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„Najlepsza wartość dla agencji”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„Wybierz Agency”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Agencje SEO, aktywni freelancerzy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„Bez limitów, pełne wsparcie”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„Wybierz Enterprise”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Rosnące agencje i in-house teams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„Integracje API i wdrożenie pod ciebie”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„Skontaktuj się”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Duże firmy z własnym CRM/workflow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9. Roczna subskrypcja — rekomendacja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Research 2026 jednoznacznie rekomenduje roczną opcję: lepsza retencja, lepszy cash flow, commitment klienta. Benchmark: 15–20% rabat za roczną subskrypcję (DesignRevision 2026 GTM Playbook).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1800"/>
        <w:gridCol w:w="2000"/>
        <w:gridCol w:w="2026"/>
        <w:tblGridChange w:id="0">
          <w:tblGrid>
            <w:gridCol w:w="1600"/>
            <w:gridCol w:w="1600"/>
            <w:gridCol w:w="1800"/>
            <w:gridCol w:w="2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Miesięczna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Roczna (per msc)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Roczna łączna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Oszczędność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$7.99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$95.88/rok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$24 (20%)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$23.99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$287.88/rok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$72 (20%)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$948/rok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$240 (20%)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Implementacja: Stripe obsługuje oba modele (monthly/yearly). Toggle na pricing page. Domyślnie wyświetlaj roczną cenę (per msc) — lepsza optyka.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Launch strategy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Na start (soft launch): tylko miesięczna. Roczna od Fazy 1 (gdy mamy 20+ płacących i wiemy że retention jest OK).</w:t>
      </w:r>
    </w:p>
    <w:p w:rsidR="00000000" w:rsidDel="00000000" w:rsidP="00000000" w:rsidRDefault="00000000" w:rsidRPr="00000000" w14:paraId="00000220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10. FAQ cennikowe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Pytanie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Odpowiedź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Czym są kredyty?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Kredyty to wewnętrzna waluta SiteSpector. Każdy plan zawiera pulę kredytów miesięcznie. 1 audyt = 30 kredytów, 1 wiadomość chat AI = 1 kredyt. Możesz używać kredytów jak chcesz.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Czy mogę dokupować kredyty?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Tak — od planu Solo wzwyż. Free nie może dokupować kredytów.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Czy niewykorzystane kredyty przechodzą na następny miesiąc?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Kredyty z planu miesięcznego: nie. Dokupione kredyty: tak (ważne 90 dni od zakupu).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Czy płacę per seat?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Nie. Każdy plan ma określoną ilość workspace members. Solo: 2, Agency: 10, Enterprise: unlimited. Brak opłat per dodatkowego usera w ramach limitu.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Co jeśli potrzebuję więcej niż limit kredytów?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Dwie opcje: 1) Dokup paczkę kredytów 2) Upgrade do wyższego planu (jeśli też potrzebujesz więcej memberów/harmonogramów).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Jak anulować?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W dowolnym momencie przez Stripe Customer Portal. Brak okresu wypowiedzenia. Dostęp do końca opłaconego okresu.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Czy jest trial?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Free działa jak demo: 1 audyt startowy + chat AI, bez karty. Pełny raport i dokupywanie kredytów od planu Solo.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Gdzie są moje dane?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Wszystkie dane w EU (Hetzner, Niemcy). Pełna zgodność z GDPR. Workspace’y są logicznie izolowane.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11. Roadmapa cenowa — ewolucja modelu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3200"/>
        <w:gridCol w:w="2626"/>
        <w:tblGridChange w:id="0">
          <w:tblGrid>
            <w:gridCol w:w="1600"/>
            <w:gridCol w:w="1600"/>
            <w:gridCol w:w="32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Zmiany cenowe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Faza 0: Soft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Free + placeholder. Billing UI gotowe ale nieaktywne. Beta users = free unlimited.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Teraz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Faza 0.5: Cennik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Kwiecień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Aktywacja Stripe. Solo + Agency + Enterprise self-serve. Custom = „Skontaktuj się”.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Stripe PRICE_ID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Faza 1: Pełny cennik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Maj–Czerwiec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4 tiery + kredyty dokupywalne. Roczna opcja (20% off). 50 płacących klientów.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20+ płacących + retention &gt;85%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Faza 2: Optymalizacja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Q3–Q4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A/B test cen. Ewentualnie: Agency $34.99 (podwyżka 15%). Add-ons: white-label, priority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200+ płacących, dane o WTP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Faza 3: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2027+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Enterprise custom pricing. API pricing. Agency Pack (multi-workspace bundle). PLN pricing dla 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MRR &gt; $20k, enterprise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40" w:line="28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0"/>
          <w:szCs w:val="20"/>
          <w:rtl w:val="0"/>
        </w:rPr>
        <w:t xml:space="preserve">Zasada Bessemer: rewiduj cennik co 6 miesięcy. Willingness-to-pay jest dynamiczny — rośnie z nowymi funkcjami. Nigdy nie zostawiaj cennika na dłużej niż 6 msc bez weryfikacji.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12. Implementacja techniczna —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000"/>
        <w:gridCol w:w="800"/>
        <w:gridCol w:w="3226"/>
        <w:tblGridChange w:id="0">
          <w:tblGrid>
            <w:gridCol w:w="4000"/>
            <w:gridCol w:w="1000"/>
            <w:gridCol w:w="8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Zadanie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Priorytet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Odpowiedzialny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Stripe: utworzyć Products + Prices (Solo, Agency, Enterprise 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Stripe: utworzyć Prices roczne (po Fazie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Stripe: utworzyć Credit Pack products (4 paczki)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Backend: credit ledger (tabela credits w VPS 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Backend: credit consumption per audyt (30 kr: 20 tech + 10 AI) i per chat (1 kr)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Backend: credit purchase flow (Stripe one-time payment)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Backend: credit expiry (90 dni dla dokupowych)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Frontend: pricing page z toggle monthly/yearly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Frontend: credit balance widget w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Frontend: „Dokup kredyty” CTA gdy low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Frontend: paywall raportu demo (widoczne 20%, reszta zblur.)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Frontend: AI analiza paywall (top 3 z 9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Billing UI: aktywacja checkout (zmiana z placeholder)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Email: upgrade nudge gdy kredyty &lt;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Automatyzacja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Analytics: tracking credit usage per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Źródła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Chargebee — 2025 State of Subscriptions Report (hybrid pricing 43%): https://www.chargebee.com/resources/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ProductLed — PLG Benchmarks (free-to-paid 9%, PQL 3x): https://productled.com/blog/product-led-growth-benchmarks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First Page Sage — SaaS Freemium Conversion Rates 2026: https://firstpagesage.com/seo-blog/saas-freemium-conversion-rates/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Userpilot — SaaS Average Free Trial Conversion Rate: https://userpilot.com/blog/saas-average-conversion-rate/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Ibbaka — B2B SaaS and Agentic AI Pricing Predictions 2026: https://www.ibbaka.com/ibbaka-market-blog/b2b-saas-and-agentic-ai-pricing-predictions-for-2026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Medium (Boutbati) — The Future of SaaS Pricing in 2026: https://medium.com/@aymane.bt/the-future-of-saas-pricing-in-2026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NxCode — SaaS Pricing Strategy Guide 2026: https://www.nxcode.io/resources/news/saas-pricing-strategy-guide-2026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Golden Door Asset — Software Pricing Playbook 2026: https://www.goldendoorasset.com/software/pricing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Monetizely — The Economics of AI-First B2B SaaS 2026: https://www.getmonetizely.com/blogs/the-economics-of-ai-first-b2b-saas-in-2026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DesignRevision — B2B SaaS GTM Playbook 2026 (pricing tiers 20-30% jumps): https://designrevision.com/blog/b2b-saas-go-to-market-strategy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Pixelswithin — B2B SaaS Conversion Benchmarks 2026: https://pixelswithin.com/b2b-saas-conversion-benchmarks-2026/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ScaleCrush — Freemium Pricing for SaaS: https://www.scalecrush.io/blog/saas-freemium-pricing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Maxio — Guide to SaaS Pricing Models: https://www.maxio.com/blog/guide-to-saas-pricing-models-strategies-and-best-practices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40" w:line="22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5"/>
          <w:szCs w:val="15"/>
          <w:rtl w:val="0"/>
        </w:rPr>
        <w:t xml:space="preserve">City Shift Finance — B2B SaaS Pricing Strategy 2026: https://www.cityshiftfinance.com/revenue-management-resources/b2b-saas-pricing-strategy-news-2026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color="bdc3c7" w:space="8" w:sz="4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6"/>
          <w:szCs w:val="16"/>
          <w:rtl w:val="0"/>
        </w:rPr>
        <w:t xml:space="preserve">© SiteSpector 2026 | Dokument wewnętrzny | Strategia cenowa | Marzec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8">
    <w:pPr>
      <w:pBdr>
        <w:top w:color="bdc3c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4"/>
        <w:szCs w:val="14"/>
        <w:rtl w:val="0"/>
      </w:rPr>
      <w:t xml:space="preserve">sitespector.app  |  Dokument wewnętrzny  |  Marzec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pBdr>
        <w:bottom w:color="2e86c1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6"/>
        <w:szCs w:val="16"/>
        <w:rtl w:val="0"/>
      </w:rPr>
      <w:t xml:space="preserve">SiteSpector</w:t>
    </w: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  |  Strategia cenowa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851yCNjn6QWkiA9ns7rlyIpSO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eCgIxMRIYChYIB0I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h4KAjIzEhgKFggHQhI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4AHIhMUxWcFFZMEJibWVselp2MEczdkhYVW84dDhhdVlpME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2026-03-08T16:21:11.801Z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