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6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5276"/>
          <w:sz w:val="52"/>
          <w:szCs w:val="52"/>
        </w:rPr>
        <w:t xml:space="preserve">SITESPECTOR</w:t>
      </w:r>
    </w:p>
    <w:p>
      <w:pPr>
        <w:pBdr>
          <w:bottom w:val="single" w:color="2E86C1" w:sz="4" w:space="12"/>
        </w:pBdr>
        <w:spacing w:after="300"/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Profesjonalna platforma audytów SEO z AI</w:t>
      </w:r>
    </w:p>
    <w:p>
      <w:pPr>
        <w:spacing w:before="200" w:after="2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5276"/>
          <w:sz w:val="44"/>
          <w:szCs w:val="44"/>
        </w:rPr>
        <w:t xml:space="preserve">W JAKI SPOSÓB MÓWIMY?</w:t>
      </w:r>
    </w:p>
    <w:p>
      <w:pPr>
        <w:spacing w:after="300"/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Tone of Voice — kompletny przewodnik po głosie marki</w:t>
      </w:r>
    </w:p>
    <w:p>
      <w:pPr>
        <w:spacing w:before="300" w:after="300"/>
      </w:pP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Wersja: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Data: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Marzec 2026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Dokument: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6 z 11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Dla kogo: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Każdy tworzący komunikację SiteSpector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</w:rPr>
        <w:t xml:space="preserve">1. Dlaczego Tone of Voice jest krytyczny w 2026</w:t>
      </w: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Tone of Voice (ToV) to nie „mile to have” — to narzędzie biznesowe. Research z 2025–2026 pokazuje konkretne dane: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78% konsumentów preferuje marki, które „brzmiaą ludzko” — nie korporacyjnie (badania branżowe 2025).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Jeden SaaS zwiększył konwersję trial-to-paid o 34% po zmianie z „friendly and professional” na „direct, peer-level” communication.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Uproszczenie głosu z „premium and sophisticated” na „honest and helpful” zwiększyło konwersje na stronie o 28%.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Kontraintuitywny insight: uproszczenie języka często ZWIĘKSZA postrzeganą ekspertyzę, bo jasna komunikacja sygnalizuje pewność wiedzy.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62% marek planuje inwestować w AI do komunikacji do 2026 (Gartner) — ale AI bez zdefiniowanego ToV generuje „generic slop”.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Marki z spójnym tonem mają 15–20% wyższą retencję klientów.</w:t>
      </w:r>
    </w:p>
    <w:p>
      <w:pPr>
        <w:pBdr>
          <w:left w:val="single" w:color="2E86C1" w:sz="6" w:space="8"/>
        </w:pBdr>
        <w:spacing w:before="200" w:after="200"/>
        <w:ind w:left="480" w:right="480"/>
      </w:pPr>
      <w:r>
        <w:rPr>
          <w:rFonts w:ascii="Arial" w:cs="Arial" w:eastAsia="Arial" w:hAnsi="Arial"/>
          <w:i/>
          <w:iCs/>
          <w:color w:val="2E86C1"/>
          <w:sz w:val="24"/>
          <w:szCs w:val="24"/>
        </w:rPr>
        <w:t xml:space="preserve">W 2026 Twoja konkurencja nie jest zła — jest nudna. Każdy SaaS brzmi tak samo: „innovative solution”, „seamless experience”, „empower your team”. Wyróżnik nie leży w features, ale w sposobie mówienia o nich.</w:t>
      </w:r>
    </w:p>
    <w:p>
      <w:pPr>
        <w:pBdr>
          <w:bottom w:val="single" w:color="BDC3C7" w:sz="2" w:space="1"/>
        </w:pBdr>
        <w:spacing w:before="300" w:after="3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</w:rPr>
        <w:t xml:space="preserve">2. Głos marki SiteSpector — definicja</w:t>
      </w:r>
    </w:p>
    <w:p>
      <w:pPr>
        <w:pStyle w:val="Heading3"/>
        <w:spacing w:before="240" w:after="180"/>
      </w:pPr>
      <w:r>
        <w:rPr>
          <w:rFonts w:ascii="Arial" w:cs="Arial" w:eastAsia="Arial" w:hAnsi="Arial"/>
          <w:b/>
          <w:bCs/>
          <w:color w:val="1A5276"/>
        </w:rPr>
        <w:t xml:space="preserve">2.1. Kim jest SiteSpector gdyby był człowiekiem?</w:t>
      </w: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SiteSpector to doświadczony specjalista SEO, który pracował po obu stronach — w agencji i jako freelancer. Wie jak wygląda frustracja ręcznego łączenia danych z 5 narzędzi. Nie poucza — pokazuje. Nie sprzedaje — tłumaczy. Mówi „ty”, nie „klient”. Jest po Twojej stronie.</w:t>
      </w:r>
    </w:p>
    <w:p>
      <w:pPr>
        <w:pStyle w:val="Heading3"/>
        <w:spacing w:before="240" w:after="180"/>
      </w:pPr>
      <w:r>
        <w:rPr>
          <w:rFonts w:ascii="Arial" w:cs="Arial" w:eastAsia="Arial" w:hAnsi="Arial"/>
          <w:b/>
          <w:bCs/>
          <w:color w:val="1A5276"/>
        </w:rPr>
        <w:t xml:space="preserve">2.2. Cztery wymiary głosu (4D Voice Framework)</w:t>
      </w: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Profesjonalne marki definiują głos na 4 osiach. Oto gdzie SiteSpector się plasuje: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Oś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Gdzie jesteśmy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 to oznacza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Formalny ↔ Swobodny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70% w stronę swobodnego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Bezpośrednio, bez korporacyjnego dystansu. Ale nie „kumpelsko” — jesteśmy ekspertem, nie kolegą z imprezy.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Poważny ↔ Lekki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60% w stronę lekkiego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Lekki humor jest OK (zwłaszcza o frustracjach branży). Ale nie „funny brand” — jesteśmy narzędziem, nie memem.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Szacunkowy ↔ Prowokujący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55% w stronę szacunkowego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Szanujemy czas i wiedzę użytkownika. Możemy mieć opinie (mild controversy na LinkedIn), ale nie atakujemy.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Entuzjastyczny ↔ Rzeczowy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65% w stronę rzeczowego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Fakty, liczby, gotowe przykłady. Entuzjazm wyrażamy przez wyniki („30 minut zamiast 2 dni”), nie przez wykrzykniki.</w:t>
            </w:r>
          </w:p>
        </w:tc>
      </w:tr>
    </w:tbl>
    <w:p>
      <w:pPr>
        <w:spacing w:before="80" w:after="80"/>
      </w:pPr>
    </w:p>
    <w:p>
      <w:pPr>
        <w:pStyle w:val="Heading3"/>
        <w:spacing w:before="240" w:after="180"/>
      </w:pPr>
      <w:r>
        <w:rPr>
          <w:rFonts w:ascii="Arial" w:cs="Arial" w:eastAsia="Arial" w:hAnsi="Arial"/>
          <w:b/>
          <w:bCs/>
          <w:color w:val="1A5276"/>
        </w:rPr>
        <w:t xml:space="preserve">2.3. Pięć słów definiujących głos SiteSpector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Konkretny —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Liczby zamiast przymiotników. „30 minut” zamiast „szybko”. „$9.99/msc” zamiast „przystępna cena”. „200 zadań” zamiast „kompleksowy plan”.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Bezpośredni —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Mówimy „ty”, nie „klient”. „Zrób to”, nie „można rozważyć”. Zdania aktywne, nie bierne. Krótkie akapity.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Transparentny —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Mówimy co AI robi i czego nie robi. Nie ukrywamy, że używamy Screaming Frog i Gemini. Przyznajemy się do ograniczeń.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Wspierający —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Jesteśmy po Twojej stronie. Nie straszamy („Twoja strona traci klientów!”). Pokazujemy rozwiązania, nie problemy. Ton: „jestem tu żeby Ci pomóc”.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Kompetentny —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Wiemy o czym mówimy — i to widać w jakości treści, nie w żargonie. Ekspertyza wyrażona przez jasność, nie przez złożoność.</w:t>
      </w:r>
    </w:p>
    <w:p>
      <w:pPr>
        <w:pBdr>
          <w:bottom w:val="single" w:color="BDC3C7" w:sz="2" w:space="1"/>
        </w:pBdr>
        <w:spacing w:before="300" w:after="3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</w:rPr>
        <w:t xml:space="preserve">3. Praktyczny przewodnik: jak pisać vs. jak NIE pisać</w:t>
      </w:r>
    </w:p>
    <w:p>
      <w:pPr>
        <w:pStyle w:val="Heading3"/>
        <w:spacing w:before="240" w:after="180"/>
      </w:pPr>
      <w:r>
        <w:rPr>
          <w:rFonts w:ascii="Arial" w:cs="Arial" w:eastAsia="Arial" w:hAnsi="Arial"/>
          <w:b/>
          <w:bCs/>
          <w:color w:val="1A5276"/>
        </w:rPr>
        <w:t xml:space="preserve">3.1. Złe vs. Dobre — przykłady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74C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✘ TAK NIE MÓWIMY</w:t>
            </w:r>
          </w:p>
        </w:tc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844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✔ TAK MÓWIMY</w:t>
            </w:r>
          </w:p>
        </w:tc>
      </w:tr>
      <w:tr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✘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Kompleksowe rozwiązanie do optymalizacji widoczności cyfrowej</w:t>
            </w:r>
          </w:p>
        </w:tc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✔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Audyt SEO który mówi ci co zrobić i jak</w:t>
            </w:r>
          </w:p>
        </w:tc>
      </w:tr>
      <w:tr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✘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Nasz zaawansowany algorytm AI analizuje...</w:t>
            </w:r>
          </w:p>
        </w:tc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✔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Gemini AI czyta twoje dane i wyciąga wnioski których ręcznie byś nie znalazł</w:t>
            </w:r>
          </w:p>
        </w:tc>
      </w:tr>
      <w:tr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✘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Platforma umożliwia generowanie raportów</w:t>
            </w:r>
          </w:p>
        </w:tc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✔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Kliknij i masz PDF gotowy do wysłania klientowi</w:t>
            </w:r>
          </w:p>
        </w:tc>
      </w:tr>
      <w:tr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✘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Osiągnij widoczność online</w:t>
            </w:r>
          </w:p>
        </w:tc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✔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Pojaw się w Google zanim konkurencja to zrobi</w:t>
            </w:r>
          </w:p>
        </w:tc>
      </w:tr>
      <w:tr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✘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Oferujemy innowacyjne narzędzie AI-powered</w:t>
            </w:r>
          </w:p>
        </w:tc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✔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Screaming Frog + Lighthouse + Senuto + AI. W jednym miejscu, za jedną cenę.</w:t>
            </w:r>
          </w:p>
        </w:tc>
      </w:tr>
      <w:tr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✘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Twoja strona traci klientów każdego dnia!</w:t>
            </w:r>
          </w:p>
        </w:tc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✔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Twoja strona ma 47 błędów SEO. Oto 3 które mają znaczenie.</w:t>
            </w:r>
          </w:p>
        </w:tc>
      </w:tr>
      <w:tr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✘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AI zrobi za ciebie SEO</w:t>
            </w:r>
          </w:p>
        </w:tc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✔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AI daje ci plan. Ty decydujesz co wdrożyć i kiedy.</w:t>
            </w:r>
          </w:p>
        </w:tc>
      </w:tr>
      <w:tr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✘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Nowa funkcja została uruchomiona w celu usprawnienia procesu</w:t>
            </w:r>
          </w:p>
        </w:tc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✔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Nowa funkcja: możesz teraz zaplanować automatyczne audyty co miesiąc.</w:t>
            </w:r>
          </w:p>
        </w:tc>
      </w:tr>
    </w:tbl>
    <w:p>
      <w:pPr>
        <w:spacing w:before="80" w:after="80"/>
      </w:pPr>
    </w:p>
    <w:p>
      <w:pPr>
        <w:pStyle w:val="Heading3"/>
        <w:spacing w:before="240" w:after="180"/>
      </w:pPr>
      <w:r>
        <w:rPr>
          <w:rFonts w:ascii="Arial" w:cs="Arial" w:eastAsia="Arial" w:hAnsi="Arial"/>
          <w:b/>
          <w:bCs/>
          <w:color w:val="1A5276"/>
        </w:rPr>
        <w:t xml:space="preserve">3.2. Słowa których używamy i których unikamy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Używamy</w:t>
            </w:r>
          </w:p>
        </w:tc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Unikamy</w:t>
            </w:r>
          </w:p>
        </w:tc>
      </w:tr>
      <w:tr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audyt, analiza, crawl, metryki</w:t>
            </w:r>
          </w:p>
        </w:tc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kompleksowe rozwiązanie, holistyczne podejście</w:t>
            </w:r>
          </w:p>
        </w:tc>
      </w:tr>
      <w:tr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plan działania, zadania, kod</w:t>
            </w:r>
          </w:p>
        </w:tc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optymalizacja procesów biznesowych</w:t>
            </w:r>
          </w:p>
        </w:tc>
      </w:tr>
      <w:tr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Execution Plan, Quick Wins, roadmapa</w:t>
            </w:r>
          </w:p>
        </w:tc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synergia, transformacja cyfrowa</w:t>
            </w:r>
          </w:p>
        </w:tc>
      </w:tr>
      <w:tr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konkretnie, jasno, wprost</w:t>
            </w:r>
          </w:p>
        </w:tc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innowacyjny, rewolucyjny, game-changing</w:t>
            </w:r>
          </w:p>
        </w:tc>
      </w:tr>
      <w:tr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ty, twoja strona, twój klient</w:t>
            </w:r>
          </w:p>
        </w:tc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Państwa strona, użytkownik końcowy</w:t>
            </w:r>
          </w:p>
        </w:tc>
      </w:tr>
      <w:tr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Screaming Frog, Lighthouse, Senuto, Gemini</w:t>
            </w:r>
          </w:p>
        </w:tc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nasze zaawansowane algorytmy, nasza technologia</w:t>
            </w:r>
          </w:p>
        </w:tc>
      </w:tr>
      <w:tr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oszczędność, szybkość, efekt</w:t>
            </w:r>
          </w:p>
        </w:tc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empower, leverage, disrupt</w:t>
            </w:r>
          </w:p>
        </w:tc>
      </w:tr>
      <w:tr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zrób, sprawdź, popraw</w:t>
            </w:r>
          </w:p>
        </w:tc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można rozważyć, warto zastanowić się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</w:rPr>
        <w:t xml:space="preserve">4. Ton per kanał — ten sam głos, różna intensywność</w:t>
      </w: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Głos marki jest stały. Ton dostosowujemy do kontekstu — jak człowiek mówi inaczej na konferencji niż przy piwie, ale wciąż jest sobą.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13"/>
        <w:gridCol w:w="2413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Kanał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Ton</w:t>
            </w:r>
          </w:p>
        </w:tc>
        <w:tc>
          <w:tcPr>
            <w:tcW w:type="dxa" w:w="2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Styl</w:t>
            </w:r>
          </w:p>
        </w:tc>
        <w:tc>
          <w:tcPr>
            <w:tcW w:type="dxa" w:w="2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Przykład otwarcia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Strona www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Pewny ekspercki</w:t>
            </w:r>
          </w:p>
        </w:tc>
        <w:tc>
          <w:tcPr>
            <w:tcW w:type="dxa" w:w="2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Krotkie zdania, benefit-first, CTA jasne</w:t>
            </w:r>
          </w:p>
        </w:tc>
        <w:tc>
          <w:tcPr>
            <w:tcW w:type="dxa" w:w="2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„Audyt SEO w 30 minut. Z planem co zrobić jutro.”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Blog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Edukacyjny, peer-level</w:t>
            </w:r>
          </w:p>
        </w:tc>
        <w:tc>
          <w:tcPr>
            <w:tcW w:type="dxa" w:w="2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Dłuższe formy, przykłady kodu, dane</w:t>
            </w:r>
          </w:p>
        </w:tc>
        <w:tc>
          <w:tcPr>
            <w:tcW w:type="dxa" w:w="2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„7 z 8 stron nie przechodzi Core Web Vitals. Oto jak to naprawić.”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LinkedIn (founder)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Osobisty, opiniotwórczy</w:t>
            </w:r>
          </w:p>
        </w:tc>
        <w:tc>
          <w:tcPr>
            <w:tcW w:type="dxa" w:w="2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Storytelling, za kulisami, mild controversy</w:t>
            </w:r>
          </w:p>
        </w:tc>
        <w:tc>
          <w:tcPr>
            <w:tcW w:type="dxa" w:w="2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„SEO raporty są bezużyteczne. Przynajmniej większość z nich.”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LinkedIn (marka)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Wartościowy, edukacyjny</w:t>
            </w:r>
          </w:p>
        </w:tc>
        <w:tc>
          <w:tcPr>
            <w:tcW w:type="dxa" w:w="2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Insights, dane, how-to</w:t>
            </w:r>
          </w:p>
        </w:tc>
        <w:tc>
          <w:tcPr>
            <w:tcW w:type="dxa" w:w="2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Checklist technicznego audytu SEO (save na później)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Personalny, konkretny</w:t>
            </w:r>
          </w:p>
        </w:tc>
        <w:tc>
          <w:tcPr>
            <w:tcW w:type="dxa" w:w="2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Jak od znajomego. 1 temat per mail.</w:t>
            </w:r>
          </w:p>
        </w:tc>
        <w:tc>
          <w:tcPr>
            <w:tcW w:type="dxa" w:w="2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„Cześć [imię], twój audyt jest gotowy. Oto 3 rzeczy które warto naprawić dziś.”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Reklamy (Ads)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Krótki, benefit-first</w:t>
            </w:r>
          </w:p>
        </w:tc>
        <w:tc>
          <w:tcPr>
            <w:tcW w:type="dxa" w:w="2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Cyfry, silne CTA, zero fluffu</w:t>
            </w:r>
          </w:p>
        </w:tc>
        <w:tc>
          <w:tcPr>
            <w:tcW w:type="dxa" w:w="2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„5 narzędzi w jednym. $9.99/msc. Zacznij za darmo.”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Sales / demo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Słuchający, doradczy</w:t>
            </w:r>
          </w:p>
        </w:tc>
        <w:tc>
          <w:tcPr>
            <w:tcW w:type="dxa" w:w="2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Pytaj o problemy zanim pokażesz produkt</w:t>
            </w:r>
          </w:p>
        </w:tc>
        <w:tc>
          <w:tcPr>
            <w:tcW w:type="dxa" w:w="2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„Opowiedz mi jak dziś robisz audyty dla klientów.”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Produkt (UI)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Jasny, pomocny</w:t>
            </w:r>
          </w:p>
        </w:tc>
        <w:tc>
          <w:tcPr>
            <w:tcW w:type="dxa" w:w="2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Zero żargonu, tooltips, jasne labele</w:t>
            </w:r>
          </w:p>
        </w:tc>
        <w:tc>
          <w:tcPr>
            <w:tcW w:type="dxa" w:w="2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„Twój audyt jest gotowy. Kliknij żeby zobaczyć wyniki.”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Chat AI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Merytoryczny, ciepły</w:t>
            </w:r>
          </w:p>
        </w:tc>
        <w:tc>
          <w:tcPr>
            <w:tcW w:type="dxa" w:w="2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Odpowiada na pytanie, sugeruje dalsze kroki</w:t>
            </w:r>
          </w:p>
        </w:tc>
        <w:tc>
          <w:tcPr>
            <w:tcW w:type="dxa" w:w="2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„Twój LCP wynosi 4.2s. Oto 3 sposoby żeby to poprawić...”</w:t>
            </w:r>
          </w:p>
        </w:tc>
      </w:tr>
    </w:tbl>
    <w:p>
      <w:pPr>
        <w:pBdr>
          <w:bottom w:val="single" w:color="BDC3C7" w:sz="2" w:space="1"/>
        </w:pBdr>
        <w:spacing w:before="300" w:after="3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</w:rPr>
        <w:t xml:space="preserve">5. Dwa głosy: Founder + Marka</w:t>
      </w: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Research z 2026 jednoznacznie potwierdza: founder-led content na LinkedIn konwertuje 8x lepiej niż cold outbound. Ale founder i marka to różne głosy, które się uzupełniają: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13"/>
        <w:gridCol w:w="3313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3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Founder (LinkedIn personal)</w:t>
            </w:r>
          </w:p>
        </w:tc>
        <w:tc>
          <w:tcPr>
            <w:tcW w:type="dxa" w:w="33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Marka SiteSpector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Perspektywa</w:t>
            </w:r>
          </w:p>
        </w:tc>
        <w:tc>
          <w:tcPr>
            <w:tcW w:type="dxa" w:w="33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Osobista: „Ja buduję...”, „Widzę że...”</w:t>
            </w:r>
          </w:p>
        </w:tc>
        <w:tc>
          <w:tcPr>
            <w:tcW w:type="dxa" w:w="33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Produktowa: „SiteSpector robi...”, „Nasz audyt...”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Ton</w:t>
            </w:r>
          </w:p>
        </w:tc>
        <w:tc>
          <w:tcPr>
            <w:tcW w:type="dxa" w:w="33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Osobisty, opiniotwórczy, za kulisami</w:t>
            </w:r>
          </w:p>
        </w:tc>
        <w:tc>
          <w:tcPr>
            <w:tcW w:type="dxa" w:w="33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Ekspercki, rzeczowy, benefit-driven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Tematy</w:t>
            </w:r>
          </w:p>
        </w:tc>
        <w:tc>
          <w:tcPr>
            <w:tcW w:type="dxa" w:w="33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Building in public, frustracje branży, opinie o trendach SEO, lessons learned</w:t>
            </w:r>
          </w:p>
        </w:tc>
        <w:tc>
          <w:tcPr>
            <w:tcW w:type="dxa" w:w="33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Funkcje produktu, how-to, dane, porównania narzędzi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Humor</w:t>
            </w:r>
          </w:p>
        </w:tc>
        <w:tc>
          <w:tcPr>
            <w:tcW w:type="dxa" w:w="33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Tak — naturalny, sytuacyjny</w:t>
            </w:r>
          </w:p>
        </w:tc>
        <w:tc>
          <w:tcPr>
            <w:tcW w:type="dxa" w:w="33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Lekki — raczej wśród danych niż stand-up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CTA</w:t>
            </w:r>
          </w:p>
        </w:tc>
        <w:tc>
          <w:tcPr>
            <w:tcW w:type="dxa" w:w="33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Subtelny: „Sprawdź link w komentarzu”</w:t>
            </w:r>
          </w:p>
        </w:tc>
        <w:tc>
          <w:tcPr>
            <w:tcW w:type="dxa" w:w="33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Bezpośredni: „Zacznij za darmo”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Częstotliwość</w:t>
            </w:r>
          </w:p>
        </w:tc>
        <w:tc>
          <w:tcPr>
            <w:tcW w:type="dxa" w:w="33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3–5x/tydzień</w:t>
            </w:r>
          </w:p>
        </w:tc>
        <w:tc>
          <w:tcPr>
            <w:tcW w:type="dxa" w:w="33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2–3x/tydzień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Platforma</w:t>
            </w:r>
          </w:p>
        </w:tc>
        <w:tc>
          <w:tcPr>
            <w:tcW w:type="dxa" w:w="33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LinkedIn (primary), Twitter/X</w:t>
            </w:r>
          </w:p>
        </w:tc>
        <w:tc>
          <w:tcPr>
            <w:tcW w:type="dxa" w:w="33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Strona www, blog, LinkedIn company, ads, email</w:t>
            </w:r>
          </w:p>
        </w:tc>
      </w:tr>
    </w:tbl>
    <w:p>
      <w:pPr>
        <w:spacing w:before="80" w:after="80"/>
      </w:pP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Kluczowa zasada: founder buduje zaufanie i relacje, marka konwertuje. Founder przyciąga uwagę na LinkedIn, marka zamyka na stronie i w produkcie.</w:t>
      </w:r>
    </w:p>
    <w:p>
      <w:pPr>
        <w:pBdr>
          <w:bottom w:val="single" w:color="BDC3C7" w:sz="2" w:space="1"/>
        </w:pBdr>
        <w:spacing w:before="300" w:after="3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</w:rPr>
        <w:t xml:space="preserve">6. Emocje które wywołujemy</w:t>
      </w: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Każda treść powinna wywoływać jedną lub dwie z tych emocji: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Emocja</w:t>
            </w:r>
          </w:p>
        </w:tc>
        <w:tc>
          <w:tcPr>
            <w:tcW w:type="dxa" w:w="3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Jak ją wywołać</w:t>
            </w:r>
          </w:p>
        </w:tc>
        <w:tc>
          <w:tcPr>
            <w:tcW w:type="dxa" w:w="3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Przykład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Ulga</w:t>
            </w:r>
          </w:p>
        </w:tc>
        <w:tc>
          <w:tcPr>
            <w:tcW w:type="dxa" w:w="3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Pokaż że problem jest rozwiązany</w:t>
            </w:r>
          </w:p>
        </w:tc>
        <w:tc>
          <w:tcPr>
            <w:tcW w:type="dxa" w:w="3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„Zapomnij o żonglowaniu 5 narzędziami”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Pewność siebie</w:t>
            </w:r>
          </w:p>
        </w:tc>
        <w:tc>
          <w:tcPr>
            <w:tcW w:type="dxa" w:w="3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Daj gotowy plan działania</w:t>
            </w:r>
          </w:p>
        </w:tc>
        <w:tc>
          <w:tcPr>
            <w:tcW w:type="dxa" w:w="3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„Masz pełny obraz. Wiesz co zrobić.”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Profesjonalizm</w:t>
            </w:r>
          </w:p>
        </w:tc>
        <w:tc>
          <w:tcPr>
            <w:tcW w:type="dxa" w:w="3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Pokaż jakość outputów</w:t>
            </w:r>
          </w:p>
        </w:tc>
        <w:tc>
          <w:tcPr>
            <w:tcW w:type="dxa" w:w="3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„Raport PDF który możesz wysłać klientowi bez wstydu”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Ciekawość</w:t>
            </w:r>
          </w:p>
        </w:tc>
        <w:tc>
          <w:tcPr>
            <w:tcW w:type="dxa" w:w="3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Zadaj pytanie, pokaż dane</w:t>
            </w:r>
          </w:p>
        </w:tc>
        <w:tc>
          <w:tcPr>
            <w:tcW w:type="dxa" w:w="3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„Sprawdź co Google widzi w twojej stronie”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Oszczędność</w:t>
            </w:r>
          </w:p>
        </w:tc>
        <w:tc>
          <w:tcPr>
            <w:tcW w:type="dxa" w:w="3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Pokaż konkretne liczby</w:t>
            </w:r>
          </w:p>
        </w:tc>
        <w:tc>
          <w:tcPr>
            <w:tcW w:type="dxa" w:w="3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„Oszczędzasz 400 zł/msc i kilka godzin tygodniowo”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FOMO (delikatne)</w:t>
            </w:r>
          </w:p>
        </w:tc>
        <w:tc>
          <w:tcPr>
            <w:tcW w:type="dxa" w:w="3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Pokaż co robi konkurencja</w:t>
            </w:r>
          </w:p>
        </w:tc>
        <w:tc>
          <w:tcPr>
            <w:tcW w:type="dxa" w:w="3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„Twoi konkurenci już monitorują AI Overviews”</w:t>
            </w:r>
          </w:p>
        </w:tc>
      </w:tr>
    </w:tbl>
    <w:p>
      <w:pPr>
        <w:spacing w:before="60" w:after="60"/>
      </w:pP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Emocje których UNIKAMY: strach („Twoja strona traci pieniądze!”), poczucie winy („Czemu jeszcze nie zrobiłeś audytu?”), wywyższanie się („Nasze AI jest lepsze od wszystkiego”).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</w:rPr>
        <w:t xml:space="preserve">7. Język: PL teraz, EN przygotowane</w:t>
      </w: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Komunikacja SiteSpector jest dwujęzyczna: polski jest domyślny, angielski przygotowany na ekspansję.</w:t>
      </w:r>
    </w:p>
    <w:p>
      <w:pPr>
        <w:pStyle w:val="Heading3"/>
        <w:spacing w:before="240" w:after="180"/>
      </w:pPr>
      <w:r>
        <w:rPr>
          <w:rFonts w:ascii="Arial" w:cs="Arial" w:eastAsia="Arial" w:hAnsi="Arial"/>
          <w:b/>
          <w:bCs/>
          <w:color w:val="1A5276"/>
        </w:rPr>
        <w:t xml:space="preserve">7.1. Zasady językowe — polski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Terminy SEO pozostawiamy po angielsku (crawl, LCP, CLS, canonical, backlink) — polscy specjaliści używają ich na co dzień.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Nazwy narzędzi zawsze po angielsku: Screaming Frog, Lighthouse, Senuto, Gemini.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Reszta komunikacji po polsku, naturalnie — nie tłumaczymy na siłę („plan działania” jest OK, „plan wykonawczy” brzmi korporacyjnie).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Unikamy niepotrzebnych anglicyzmów: „insighty” → „wnioski”, „implement” → „wdroż”, „meeting” → „spotkanie”.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Wyjątek: Execution Plan to nazwa produktowa (jak „Roadmapa”) — pozostaje po angielsku.</w:t>
      </w:r>
    </w:p>
    <w:p>
      <w:pPr>
        <w:pStyle w:val="Heading3"/>
        <w:spacing w:before="240" w:after="180"/>
      </w:pPr>
      <w:r>
        <w:rPr>
          <w:rFonts w:ascii="Arial" w:cs="Arial" w:eastAsia="Arial" w:hAnsi="Arial"/>
          <w:b/>
          <w:bCs/>
          <w:color w:val="1A5276"/>
        </w:rPr>
        <w:t xml:space="preserve">7.2. Przygotowanie na EN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Każdy kluczowy tagline/headline powinien mieć gotowy odpowiednik EN.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Blog: domyślnie PL, artykuły flagship w obu językach.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Produkt: interfejs już ma klucze tłumaczeń — EN gotowy do aktywacji.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Głos EN: ten sam charakter (direct, transparent, expert) — nie tłumaczymy polskiego, piszemy od nowa po angielsku.</w:t>
      </w:r>
    </w:p>
    <w:p>
      <w:pPr>
        <w:pBdr>
          <w:bottom w:val="single" w:color="BDC3C7" w:sz="2" w:space="1"/>
        </w:pBdr>
        <w:spacing w:before="300" w:after="3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</w:rPr>
        <w:t xml:space="preserve">8. AI Brand Voice Guide — dla narzędzi AI</w:t>
      </w: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W 2026 większość treści będzie tworzona lub edytowana z pomocą AI (ChatGPT, Claude, Gemini). Poniższy prompt-ready guide zapewnia spójność: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86C1" w:sz="3"/>
              <w:left w:val="single" w:color="2E86C1" w:sz="3"/>
              <w:bottom w:val="single" w:color="2E86C1" w:sz="3"/>
              <w:right w:val="single" w:color="2E86C1" w:sz="3"/>
            </w:tcBorders>
            <w:shd w:fill="F4F6F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SYSTEM PROMPT — SITESPECTOR BRAND VOICE</w:t>
            </w:r>
          </w:p>
          <w:p>
            <w:pPr>
              <w:spacing w:after="80" w:line="28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Piszesz jako SiteSpector — polska platforma do audytów SEO z AI.</w:t>
            </w:r>
          </w:p>
          <w:p>
            <w:pPr>
              <w:spacing w:after="80" w:line="28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Głos: konkretny, bezpośredni, transparentny, wspierający, kompetentny.</w:t>
            </w:r>
          </w:p>
          <w:p>
            <w:pPr>
              <w:spacing w:after="80" w:line="28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Brzmisz jak: doświadczony specjalista SEO który tłumaczy prostym językiem. Peer-level, nie nauczyciel.</w:t>
            </w:r>
          </w:p>
          <w:p>
            <w:pPr>
              <w:spacing w:after="80" w:line="28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Unikaj: korporacyjnego żargonu, buzzwordów, przesady o AI, straszenia, biernych konstrukcji.</w:t>
            </w:r>
          </w:p>
          <w:p>
            <w:pPr>
              <w:spacing w:after="80" w:line="28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Preferuj: liczby zamiast przymiotników, „ty” zamiast „klient”, krótkie zdania, przykłady z kodem.</w:t>
            </w:r>
          </w:p>
          <w:p>
            <w:pPr>
              <w:spacing w:after="80" w:line="28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Emocje: ulga, pewność, profesjonalizm. NIE: strach, wina, wywyższanie.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Język: polski z angielskimi terminami SEO. Terminy produktowe: Execution Plan, Quick Wins, Health Score.</w:t>
            </w:r>
          </w:p>
        </w:tc>
      </w:tr>
    </w:tbl>
    <w:p>
      <w:pPr>
        <w:spacing w:before="60" w:after="60"/>
      </w:pP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Ten prompt można użyć bezpośrednio w ChatGPT, Claude, Gemini lub ContentShake AI jako system instruction do generowania treści SiteSpector.</w:t>
      </w:r>
    </w:p>
    <w:p>
      <w:pPr>
        <w:pBdr>
          <w:bottom w:val="single" w:color="BDC3C7" w:sz="2" w:space="1"/>
        </w:pBdr>
        <w:spacing w:before="300" w:after="3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</w:rPr>
        <w:t xml:space="preserve">9. Benchmarki — jak mówią liderzy branży</w:t>
      </w: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Analiza głosów marek SEO tools i co SiteSpector może z tego wziąć: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213"/>
        <w:gridCol w:w="2213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Marka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Styl głosu</w:t>
            </w:r>
          </w:p>
        </w:tc>
        <w:tc>
          <w:tcPr>
            <w:tcW w:type="dxa" w:w="22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Mocna strona</w:t>
            </w:r>
          </w:p>
        </w:tc>
        <w:tc>
          <w:tcPr>
            <w:tcW w:type="dxa" w:w="22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 bierzemy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Ahrefs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Edukacyjny, data-driven, peer-level. Blog jak podręcznik SEO.</w:t>
            </w:r>
          </w:p>
        </w:tc>
        <w:tc>
          <w:tcPr>
            <w:tcW w:type="dxa" w:w="22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Ekspertyza przez jasność. Proste tłumaczenie trudnych konceptów.</w:t>
            </w:r>
          </w:p>
        </w:tc>
        <w:tc>
          <w:tcPr>
            <w:tcW w:type="dxa" w:w="22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Podejście edukacyjne w blogu. Peer-level zamiast guru.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Surfer SEO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Swobodny, startup-owy, CMO pisze osobiście. Polski rodowód!</w:t>
            </w:r>
          </w:p>
        </w:tc>
        <w:tc>
          <w:tcPr>
            <w:tcW w:type="dxa" w:w="22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Autentyczność. Founder voice. „We built it because...”</w:t>
            </w:r>
          </w:p>
        </w:tc>
        <w:tc>
          <w:tcPr>
            <w:tcW w:type="dxa" w:w="22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Building in public. Osobisty głos foundera. Polski DNA.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Semrush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Profesjonalny ale przystępny. Dużo danych i toolów.</w:t>
            </w:r>
          </w:p>
        </w:tc>
        <w:tc>
          <w:tcPr>
            <w:tcW w:type="dxa" w:w="22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Spójność na skali — ten sam głos w 55+ narzędziach.</w:t>
            </w:r>
          </w:p>
        </w:tc>
        <w:tc>
          <w:tcPr>
            <w:tcW w:type="dxa" w:w="22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Spójność cross-channel. Guidelines z AI Writing Assistant.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Backlinko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Prosty, wizualny, grade 6–7 reading level. Krótkie akapity.</w:t>
            </w:r>
          </w:p>
        </w:tc>
        <w:tc>
          <w:tcPr>
            <w:tcW w:type="dxa" w:w="22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Dostępność. Każdy rozumie, nawet początkujący.</w:t>
            </w:r>
          </w:p>
        </w:tc>
        <w:tc>
          <w:tcPr>
            <w:tcW w:type="dxa" w:w="22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Prostota języka. Wizualne przerywniki. Show &gt; tell.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Slack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Casual, współpracujący, lekkihumor z profesjonalizmem.</w:t>
            </w:r>
          </w:p>
        </w:tc>
        <w:tc>
          <w:tcPr>
            <w:tcW w:type="dxa" w:w="22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Ludzkość w B2B. Emojis OK, żart OK, ale substance zawsze.</w:t>
            </w:r>
          </w:p>
        </w:tc>
        <w:tc>
          <w:tcPr>
            <w:tcW w:type="dxa" w:w="22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Humor jako „dodatek” a nie cel. Ludzki ton w B2B.</w:t>
            </w:r>
          </w:p>
        </w:tc>
      </w:tr>
    </w:tbl>
    <w:p>
      <w:pPr>
        <w:spacing w:before="80" w:after="80"/>
      </w:pPr>
    </w:p>
    <w:p>
      <w:pPr>
        <w:pBdr>
          <w:left w:val="single" w:color="2E86C1" w:sz="6" w:space="8"/>
        </w:pBdr>
        <w:spacing w:before="200" w:after="200"/>
        <w:ind w:left="480" w:right="480"/>
      </w:pPr>
      <w:r>
        <w:rPr>
          <w:rFonts w:ascii="Arial" w:cs="Arial" w:eastAsia="Arial" w:hAnsi="Arial"/>
          <w:i/>
          <w:iCs/>
          <w:color w:val="2E86C1"/>
          <w:sz w:val="24"/>
          <w:szCs w:val="24"/>
        </w:rPr>
        <w:t xml:space="preserve">Rekomendacja: głos SiteSpector to hybrid Ahrefs (ekspertyza peer-level) + Surfer (autentyczność polskiego startupu) + Backlinko (prostota). Nie kopiujemy nikogo — tworzymy własny mix który pasuje do naszego DNA: doświadczenie agencyjne + transparentność technologiczna + konkretność.</w:t>
      </w:r>
    </w:p>
    <w:p>
      <w:pPr>
        <w:pBdr>
          <w:bottom w:val="single" w:color="BDC3C7" w:sz="2" w:space="1"/>
        </w:pBdr>
        <w:spacing w:before="300" w:after="300"/>
      </w:pPr>
    </w:p>
    <w:p>
      <w:pPr>
        <w:pStyle w:val="Heading2"/>
        <w:spacing w:before="240" w:after="180"/>
      </w:pPr>
      <w:r>
        <w:rPr>
          <w:rFonts w:ascii="Arial" w:cs="Arial" w:eastAsia="Arial" w:hAnsi="Arial"/>
          <w:b/>
          <w:bCs/>
          <w:color w:val="1A5276"/>
        </w:rPr>
        <w:t xml:space="preserve">Źródła z linkami</w:t>
      </w:r>
    </w:p>
    <w:p>
      <w:pPr>
        <w:spacing w:after="60" w:line="240"/>
        <w:ind w:left="360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Iconic Fox — Brand Tone of Voice Examples: 12 Companies That Nail It: https://iconicfox.com.au/brand-tone-of-voice-examples/</w:t>
      </w:r>
    </w:p>
    <w:p>
      <w:pPr>
        <w:spacing w:after="60" w:line="240"/>
        <w:ind w:left="360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Backlinko / Semrush — How to Develop Your Brand’s Tone of Voice: https://backlinko.com/brand-tone-of-voice</w:t>
      </w:r>
    </w:p>
    <w:p>
      <w:pPr>
        <w:spacing w:after="60" w:line="240"/>
        <w:ind w:left="360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Kalungi — How to Establish an Effective B2B Brand Voice: https://www.kalungi.com/blog/b2b-brand-voice</w:t>
      </w:r>
    </w:p>
    <w:p>
      <w:pPr>
        <w:spacing w:after="60" w:line="240"/>
        <w:ind w:left="360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Oxford College of Marketing — AI Brand Voice Guidelines: https://blog.oxfordcollegeofmarketing.com/2025/08/04/ai-brand-voice-guidelines-keep-your-content-on-brand-at-scale/</w:t>
      </w:r>
    </w:p>
    <w:p>
      <w:pPr>
        <w:spacing w:after="60" w:line="240"/>
        <w:ind w:left="360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Kedraco — The Essential Tone of Voice Brands Guide 2026: https://www.kedraco.com/blogs/tone-of-voice-brands</w:t>
      </w:r>
    </w:p>
    <w:p>
      <w:pPr>
        <w:spacing w:after="60" w:line="240"/>
        <w:ind w:left="360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Britopian — How to Build an Ownable Social Media Brand Voice: https://www.britopian.com/content/b2b-brand-voice/</w:t>
      </w:r>
    </w:p>
    <w:p>
      <w:pPr>
        <w:spacing w:after="60" w:line="240"/>
        <w:ind w:left="360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Quasa.io — Techniques and Tools for Developing Brand Tone of Voice: https://quasa.io/media/techniques-and-tools-for-developing-brand-tone-of-voice</w:t>
      </w:r>
    </w:p>
    <w:p>
      <w:pPr>
        <w:spacing w:after="60" w:line="240"/>
        <w:ind w:left="360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DeSantis Breindel — How to Build A Better B2B Brand Voice: https://www.desantisbreindel.com/thinking/building-b2b-brand-voice/</w:t>
      </w:r>
    </w:p>
    <w:p>
      <w:pPr>
        <w:spacing w:after="60" w:line="240"/>
        <w:ind w:left="360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Semrush — Brand Voice: What It Is and How to Define It: https://www.semrush.com/goodcontent/content-marketing-blog/brand-voice/</w:t>
      </w:r>
    </w:p>
    <w:p>
      <w:pPr>
        <w:spacing w:after="60" w:line="240"/>
        <w:ind w:left="360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Linkboost — White Hat LinkedIn Growth Tactics 2026: https://blog.linkboost.co/white-hat-linkedin-growth-tactics-2026/</w:t>
      </w:r>
    </w:p>
    <w:p>
      <w:pPr>
        <w:spacing w:after="60" w:line="240"/>
        <w:ind w:left="360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HEIMDALL — B2B SaaS Marketing: 11 Proven Strategies 2026: https://heimdallpartner.com/insights/marketing-effectiveness/b2b-saas-marketing-strategies/</w:t>
      </w:r>
    </w:p>
    <w:p>
      <w:pPr>
        <w:spacing w:before="200" w:after="200"/>
      </w:pPr>
    </w:p>
    <w:p>
      <w:pPr>
        <w:pBdr>
          <w:top w:val="single" w:color="BDC3C7" w:sz="1" w:space="8"/>
        </w:pBdr>
        <w:jc w:val="center"/>
      </w:pPr>
      <w:r>
        <w:rPr>
          <w:rFonts w:ascii="Arial" w:cs="Arial" w:eastAsia="Arial" w:hAnsi="Arial"/>
          <w:color w:val="5D6D7E"/>
          <w:sz w:val="18"/>
          <w:szCs w:val="18"/>
        </w:rPr>
        <w:t xml:space="preserve">© SiteSpector 2026 | Dokument wewnętrzny | Marzec 2026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1" w:space="4"/>
      </w:pBdr>
      <w:jc w:val="center"/>
    </w:pPr>
    <w:r>
      <w:rPr>
        <w:rFonts w:ascii="Arial" w:cs="Arial" w:eastAsia="Arial" w:hAnsi="Arial"/>
        <w:color w:val="5D6D7E"/>
        <w:sz w:val="16"/>
        <w:szCs w:val="16"/>
      </w:rPr>
      <w:t xml:space="preserve">sitespector.app  |  Dokument wewnętrzny  |  Marzec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2" w:space="4"/>
      </w:pBdr>
      <w:jc w:val="right"/>
    </w:pPr>
    <w:r>
      <w:rPr>
        <w:rFonts w:ascii="Arial" w:cs="Arial" w:eastAsia="Arial" w:hAnsi="Arial"/>
        <w:b/>
        <w:bCs/>
        <w:color w:val="1A5276"/>
        <w:sz w:val="18"/>
        <w:szCs w:val="18"/>
      </w:rPr>
      <w:t xml:space="preserve">SiteSpector</w:t>
    </w:r>
    <w:r>
      <w:rPr>
        <w:rFonts w:ascii="Arial" w:cs="Arial" w:eastAsia="Arial" w:hAnsi="Arial"/>
        <w:color w:val="5D6D7E"/>
        <w:sz w:val="18"/>
        <w:szCs w:val="18"/>
      </w:rPr>
      <w:t xml:space="preserve">  |  Tone of Voice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A527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2026-03-08T02:16:35.436Z</dcterms:created>
  <dcterms:modified xsi:type="dcterms:W3CDTF">2026-03-08T02:16:35.437Z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