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469A" w14:textId="7AC6F80E" w:rsidR="00C73903" w:rsidRDefault="00446824" w:rsidP="00BC3F5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446824">
        <w:rPr>
          <w:rFonts w:ascii="Calibri" w:hAnsi="Calibri" w:cs="Calibri"/>
          <w:b/>
          <w:bCs/>
          <w:sz w:val="28"/>
          <w:szCs w:val="28"/>
        </w:rPr>
        <w:t>Hybrid Coarse-to-Fine Profilometry for Rough Surfaces: A Coincidence-Proxy Height-Fidelity Benchmark on Measured Surfaces</w:t>
      </w:r>
    </w:p>
    <w:p w14:paraId="7B47D80D" w14:textId="77777777" w:rsidR="00446824" w:rsidRPr="00EE2288" w:rsidRDefault="00446824" w:rsidP="00BC3F51">
      <w:pPr>
        <w:jc w:val="center"/>
        <w:rPr>
          <w:rFonts w:ascii="Calibri" w:hAnsi="Calibri" w:cs="Calibri"/>
          <w:sz w:val="28"/>
          <w:szCs w:val="28"/>
        </w:rPr>
      </w:pPr>
    </w:p>
    <w:p w14:paraId="55BE3CAC" w14:textId="3FF50975" w:rsidR="00DA1F3E" w:rsidRPr="00EA79C4" w:rsidRDefault="00000D4C" w:rsidP="00000D4C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Dawid</w:t>
      </w:r>
      <w:r w:rsidR="00EA79C4" w:rsidRPr="00EA79C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Kucharski</w:t>
      </w:r>
    </w:p>
    <w:p w14:paraId="7E2A7430" w14:textId="022B42DF" w:rsidR="00DA1F3E" w:rsidRPr="00523B58" w:rsidRDefault="00DA1F3E" w:rsidP="00000D4C">
      <w:pPr>
        <w:tabs>
          <w:tab w:val="left" w:pos="4303"/>
        </w:tabs>
        <w:jc w:val="center"/>
        <w:rPr>
          <w:rFonts w:ascii="Calibri" w:hAnsi="Calibri" w:cs="Calibri"/>
          <w:sz w:val="16"/>
          <w:szCs w:val="16"/>
        </w:rPr>
      </w:pPr>
    </w:p>
    <w:p w14:paraId="3DB8503F" w14:textId="367897D5" w:rsidR="00DA1F3E" w:rsidRPr="00EA79C4" w:rsidRDefault="00000D4C" w:rsidP="00000D4C">
      <w:pPr>
        <w:tabs>
          <w:tab w:val="left" w:pos="936"/>
          <w:tab w:val="left" w:pos="2340"/>
        </w:tabs>
        <w:jc w:val="center"/>
        <w:rPr>
          <w:rFonts w:ascii="Calibri" w:hAnsi="Calibri" w:cs="Calibri"/>
          <w:i/>
          <w:sz w:val="20"/>
          <w:szCs w:val="18"/>
        </w:rPr>
      </w:pPr>
      <w:r>
        <w:rPr>
          <w:rFonts w:ascii="Calibri" w:hAnsi="Calibri" w:cs="Calibri"/>
          <w:i/>
          <w:sz w:val="20"/>
          <w:szCs w:val="18"/>
        </w:rPr>
        <w:t>Poznan University of Technology</w:t>
      </w:r>
    </w:p>
    <w:p w14:paraId="62EB4FA2" w14:textId="77777777" w:rsidR="00DA1F3E" w:rsidRPr="00EA79C4" w:rsidRDefault="00DA1F3E" w:rsidP="00000D4C">
      <w:pPr>
        <w:tabs>
          <w:tab w:val="left" w:pos="936"/>
          <w:tab w:val="left" w:pos="2340"/>
        </w:tabs>
        <w:jc w:val="center"/>
        <w:rPr>
          <w:rFonts w:ascii="Calibri" w:hAnsi="Calibri" w:cs="Calibri"/>
          <w:i/>
          <w:sz w:val="20"/>
          <w:szCs w:val="18"/>
        </w:rPr>
      </w:pPr>
    </w:p>
    <w:p w14:paraId="785AF661" w14:textId="4B65A769" w:rsidR="00DA1F3E" w:rsidRPr="00EA79C4" w:rsidRDefault="00000D4C" w:rsidP="00000D4C">
      <w:pPr>
        <w:tabs>
          <w:tab w:val="left" w:pos="936"/>
          <w:tab w:val="left" w:pos="2340"/>
        </w:tabs>
        <w:jc w:val="center"/>
        <w:rPr>
          <w:rFonts w:ascii="Calibri" w:hAnsi="Calibri" w:cs="Calibri"/>
          <w:i/>
          <w:color w:val="FF0000"/>
          <w:sz w:val="18"/>
          <w:szCs w:val="18"/>
        </w:rPr>
      </w:pPr>
      <w:r>
        <w:rPr>
          <w:rFonts w:ascii="Calibri" w:hAnsi="Calibri" w:cs="Calibri"/>
          <w:i/>
          <w:sz w:val="20"/>
          <w:szCs w:val="18"/>
        </w:rPr>
        <w:t>dawid.kucharski@put.poznan.pl</w:t>
      </w:r>
    </w:p>
    <w:p w14:paraId="54AAE318" w14:textId="50B10D19" w:rsidR="00B972D1" w:rsidRPr="00EE2288" w:rsidRDefault="00B972D1" w:rsidP="00BC3F51">
      <w:pPr>
        <w:tabs>
          <w:tab w:val="right" w:pos="9638"/>
        </w:tabs>
        <w:rPr>
          <w:rFonts w:ascii="Calibri" w:hAnsi="Calibri" w:cs="Calibri"/>
          <w:sz w:val="32"/>
          <w:szCs w:val="32"/>
        </w:rPr>
      </w:pPr>
      <w:r w:rsidRPr="00EE2288">
        <w:rPr>
          <w:rFonts w:ascii="Calibri" w:hAnsi="Calibri" w:cs="Calibri"/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287AE6" wp14:editId="1EFF7697">
                <wp:simplePos x="0" y="0"/>
                <wp:positionH relativeFrom="column">
                  <wp:posOffset>2924</wp:posOffset>
                </wp:positionH>
                <wp:positionV relativeFrom="paragraph">
                  <wp:posOffset>144603</wp:posOffset>
                </wp:positionV>
                <wp:extent cx="6113721" cy="0"/>
                <wp:effectExtent l="0" t="0" r="20955" b="19050"/>
                <wp:wrapNone/>
                <wp:docPr id="29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372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709165" id="Straight Connector 2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11.4pt" to="481.6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"/>
            </w:pict>
          </mc:Fallback>
        </mc:AlternateContent>
      </w:r>
    </w:p>
    <w:p w14:paraId="17C6A5B2" w14:textId="1FB45F2B" w:rsidR="0073006C" w:rsidRDefault="003119C7" w:rsidP="0073006C">
      <w:pPr>
        <w:jc w:val="both"/>
        <w:rPr>
          <w:rFonts w:ascii="Calibri" w:hAnsi="Calibri" w:cs="Calibri"/>
          <w:sz w:val="22"/>
          <w:szCs w:val="22"/>
        </w:rPr>
      </w:pPr>
      <w:r w:rsidRPr="00EA79C4">
        <w:rPr>
          <w:rFonts w:ascii="Calibri" w:hAnsi="Calibri" w:cs="Calibri"/>
          <w:b/>
        </w:rPr>
        <w:t>Abstrac</w:t>
      </w:r>
      <w:r w:rsidR="00EA79C4" w:rsidRPr="00EA79C4">
        <w:rPr>
          <w:rFonts w:ascii="Calibri" w:hAnsi="Calibri" w:cs="Calibri"/>
          <w:b/>
        </w:rPr>
        <w:t>t</w:t>
      </w:r>
      <w:r w:rsidRPr="00EA79C4">
        <w:rPr>
          <w:rFonts w:ascii="Calibri" w:hAnsi="Calibri" w:cs="Calibri"/>
          <w:b/>
          <w:sz w:val="22"/>
          <w:szCs w:val="22"/>
        </w:rPr>
        <w:br/>
      </w:r>
      <w:r w:rsidR="00E5108E" w:rsidRPr="00E5108E">
        <w:rPr>
          <w:rFonts w:ascii="Calibri" w:hAnsi="Calibri" w:cs="Calibri"/>
          <w:sz w:val="22"/>
          <w:szCs w:val="22"/>
        </w:rPr>
        <w:t xml:space="preserve">Optical profilometry remains an important route for surface-topography evaluation in precision manufacturing and functional-surface metrology </w:t>
      </w:r>
      <w:sdt>
        <w:sdtPr>
          <w:rPr>
            <w:rFonts w:ascii="Calibri" w:hAnsi="Calibri" w:cs="Calibri"/>
            <w:sz w:val="22"/>
            <w:szCs w:val="22"/>
          </w:rPr>
          <w:alias w:val="SmartCite Citation"/>
          <w:tag w:val="a2296d99-ea83-4cdc-b731-654613026421:664111fb-8311-4073-b74c-06cbd5ac795f+"/>
          <w:id w:val="-2021997658"/>
          <w:placeholder>
            <w:docPart w:val="DefaultPlaceholder_-1854013440"/>
          </w:placeholder>
        </w:sdtPr>
        <w:sdtContent>
          <w:r w:rsidR="00932D17" w:rsidRPr="00932D17">
            <w:rPr>
              <w:rFonts w:ascii="Calibri" w:hAnsi="Calibri" w:cs="Calibri"/>
              <w:sz w:val="22"/>
            </w:rPr>
            <w:t>[1]</w:t>
          </w:r>
        </w:sdtContent>
      </w:sdt>
      <w:r w:rsidR="004A579D">
        <w:rPr>
          <w:rFonts w:ascii="Calibri" w:hAnsi="Calibri" w:cs="Calibri"/>
          <w:sz w:val="22"/>
          <w:szCs w:val="22"/>
        </w:rPr>
        <w:t xml:space="preserve">. </w:t>
      </w:r>
      <w:r w:rsidR="00E5108E" w:rsidRPr="00E5108E">
        <w:rPr>
          <w:rFonts w:ascii="Calibri" w:hAnsi="Calibri" w:cs="Calibri"/>
          <w:sz w:val="22"/>
          <w:szCs w:val="22"/>
        </w:rPr>
        <w:t>Classical four-step phase-shifting interferometry (PSI) remains a strong practical baseline, and environmentally robust implementations are still an active issue in interferometric testing</w:t>
      </w:r>
      <w:r w:rsidR="00932D17">
        <w:rPr>
          <w:rFonts w:ascii="Calibri" w:hAnsi="Calibri" w:cs="Calibri"/>
          <w:sz w:val="22"/>
          <w:szCs w:val="22"/>
        </w:rPr>
        <w:t xml:space="preserve"> </w:t>
      </w:r>
      <w:sdt>
        <w:sdtPr>
          <w:rPr>
            <w:rFonts w:ascii="Calibri" w:hAnsi="Calibri" w:cs="Calibri"/>
            <w:sz w:val="22"/>
            <w:szCs w:val="22"/>
          </w:rPr>
          <w:alias w:val="SmartCite Citation"/>
          <w:tag w:val="a2296d99-ea83-4cdc-b731-654613026421:62a7a716-69c8-444a-92f4-71aca2860d22+"/>
          <w:id w:val="1531763212"/>
          <w:placeholder>
            <w:docPart w:val="DefaultPlaceholder_-1854013440"/>
          </w:placeholder>
        </w:sdtPr>
        <w:sdtContent>
          <w:r w:rsidR="00932D17" w:rsidRPr="00932D17">
            <w:rPr>
              <w:rFonts w:ascii="Calibri" w:hAnsi="Calibri" w:cs="Calibri"/>
              <w:sz w:val="22"/>
            </w:rPr>
            <w:t>[2]</w:t>
          </w:r>
        </w:sdtContent>
      </w:sdt>
      <w:r w:rsidR="004A579D">
        <w:rPr>
          <w:rFonts w:ascii="Calibri" w:hAnsi="Calibri" w:cs="Calibri"/>
          <w:sz w:val="22"/>
          <w:szCs w:val="22"/>
        </w:rPr>
        <w:t>.</w:t>
      </w:r>
      <w:r w:rsidR="00932D17">
        <w:rPr>
          <w:rFonts w:ascii="Calibri" w:hAnsi="Calibri" w:cs="Calibri"/>
          <w:sz w:val="22"/>
          <w:szCs w:val="22"/>
        </w:rPr>
        <w:t> </w:t>
      </w:r>
      <w:r w:rsidR="00C73903" w:rsidRPr="00C73903">
        <w:rPr>
          <w:rFonts w:ascii="Calibri" w:hAnsi="Calibri" w:cs="Calibri"/>
          <w:sz w:val="22"/>
          <w:szCs w:val="22"/>
        </w:rPr>
        <w:t xml:space="preserve"> </w:t>
      </w:r>
      <w:r w:rsidR="00E5108E" w:rsidRPr="00E5108E">
        <w:rPr>
          <w:rFonts w:ascii="Calibri" w:hAnsi="Calibri" w:cs="Calibri"/>
          <w:sz w:val="22"/>
          <w:szCs w:val="22"/>
        </w:rPr>
        <w:t>Its estimation accuracy is also limited by phase-step and photon-statistical constraints</w:t>
      </w:r>
      <w:r w:rsidR="00932D17">
        <w:rPr>
          <w:rFonts w:ascii="Calibri" w:hAnsi="Calibri" w:cs="Calibri"/>
          <w:sz w:val="22"/>
          <w:szCs w:val="22"/>
        </w:rPr>
        <w:t xml:space="preserve"> </w:t>
      </w:r>
      <w:sdt>
        <w:sdtPr>
          <w:rPr>
            <w:rFonts w:ascii="Calibri" w:hAnsi="Calibri" w:cs="Calibri"/>
            <w:sz w:val="22"/>
            <w:szCs w:val="22"/>
          </w:rPr>
          <w:alias w:val="SmartCite Citation"/>
          <w:tag w:val="a2296d99-ea83-4cdc-b731-654613026421:1e35720e-c15a-4d78-9779-361201a86497+"/>
          <w:id w:val="-187455384"/>
          <w:placeholder>
            <w:docPart w:val="DefaultPlaceholder_-1854013440"/>
          </w:placeholder>
        </w:sdtPr>
        <w:sdtContent>
          <w:r w:rsidR="00932D17" w:rsidRPr="00932D17">
            <w:rPr>
              <w:rFonts w:ascii="Calibri" w:hAnsi="Calibri" w:cs="Calibri"/>
              <w:sz w:val="22"/>
            </w:rPr>
            <w:t>[3]</w:t>
          </w:r>
        </w:sdtContent>
      </w:sdt>
      <w:r w:rsidR="004A579D">
        <w:rPr>
          <w:rFonts w:ascii="Calibri" w:hAnsi="Calibri" w:cs="Calibri"/>
          <w:sz w:val="22"/>
          <w:szCs w:val="22"/>
        </w:rPr>
        <w:t>.</w:t>
      </w:r>
      <w:r w:rsidR="00C73903" w:rsidRPr="00C73903">
        <w:rPr>
          <w:rFonts w:ascii="Calibri" w:hAnsi="Calibri" w:cs="Calibri"/>
          <w:sz w:val="22"/>
          <w:szCs w:val="22"/>
        </w:rPr>
        <w:t xml:space="preserve"> </w:t>
      </w:r>
      <w:r w:rsidR="00E5108E" w:rsidRPr="00E5108E">
        <w:rPr>
          <w:rFonts w:ascii="Calibri" w:hAnsi="Calibri" w:cs="Calibri"/>
          <w:sz w:val="22"/>
          <w:szCs w:val="22"/>
        </w:rPr>
        <w:t>In parallel, quantum-entangled photon interferometry</w:t>
      </w:r>
      <w:r w:rsidR="00932D17">
        <w:rPr>
          <w:rFonts w:ascii="Calibri" w:hAnsi="Calibri" w:cs="Calibri"/>
          <w:sz w:val="22"/>
          <w:szCs w:val="22"/>
        </w:rPr>
        <w:t xml:space="preserve"> </w:t>
      </w:r>
      <w:sdt>
        <w:sdtPr>
          <w:rPr>
            <w:rFonts w:ascii="Calibri" w:hAnsi="Calibri" w:cs="Calibri"/>
            <w:sz w:val="22"/>
            <w:szCs w:val="22"/>
          </w:rPr>
          <w:alias w:val="SmartCite Citation"/>
          <w:tag w:val="a2296d99-ea83-4cdc-b731-654613026421:77ce3882-69da-431d-a616-1ff57de94d3c+"/>
          <w:id w:val="-1689208433"/>
          <w:placeholder>
            <w:docPart w:val="DefaultPlaceholder_-1854013440"/>
          </w:placeholder>
        </w:sdtPr>
        <w:sdtContent>
          <w:r w:rsidR="00932D17" w:rsidRPr="00932D17">
            <w:rPr>
              <w:rFonts w:ascii="Calibri" w:hAnsi="Calibri" w:cs="Calibri"/>
              <w:sz w:val="22"/>
            </w:rPr>
            <w:t>[4]</w:t>
          </w:r>
        </w:sdtContent>
      </w:sdt>
      <w:r w:rsidR="00932D17">
        <w:rPr>
          <w:rFonts w:ascii="Calibri" w:hAnsi="Calibri" w:cs="Calibri"/>
          <w:sz w:val="22"/>
          <w:szCs w:val="22"/>
        </w:rPr>
        <w:t> </w:t>
      </w:r>
      <w:r w:rsidR="00C73903" w:rsidRPr="00C73903">
        <w:rPr>
          <w:rFonts w:ascii="Calibri" w:hAnsi="Calibri" w:cs="Calibri"/>
          <w:sz w:val="22"/>
          <w:szCs w:val="22"/>
        </w:rPr>
        <w:t xml:space="preserve"> </w:t>
      </w:r>
      <w:r w:rsidR="00E5108E" w:rsidRPr="00E5108E">
        <w:rPr>
          <w:rFonts w:ascii="Calibri" w:hAnsi="Calibri" w:cs="Calibri"/>
          <w:sz w:val="22"/>
          <w:szCs w:val="22"/>
        </w:rPr>
        <w:t>and high-visibility two-photon interference schemes</w:t>
      </w:r>
      <w:r w:rsidR="00932D17">
        <w:rPr>
          <w:rFonts w:ascii="Calibri" w:hAnsi="Calibri" w:cs="Calibri"/>
          <w:sz w:val="22"/>
          <w:szCs w:val="22"/>
        </w:rPr>
        <w:t xml:space="preserve"> </w:t>
      </w:r>
      <w:sdt>
        <w:sdtPr>
          <w:rPr>
            <w:rFonts w:ascii="Calibri" w:hAnsi="Calibri" w:cs="Calibri"/>
            <w:sz w:val="22"/>
            <w:szCs w:val="22"/>
          </w:rPr>
          <w:alias w:val="SmartCite Citation"/>
          <w:tag w:val="a2296d99-ea83-4cdc-b731-654613026421:99a0623f-da37-419f-b52a-d21c72c64f08+"/>
          <w:id w:val="-906304417"/>
          <w:placeholder>
            <w:docPart w:val="DefaultPlaceholder_-1854013440"/>
          </w:placeholder>
        </w:sdtPr>
        <w:sdtContent>
          <w:r w:rsidR="00932D17" w:rsidRPr="00932D17">
            <w:rPr>
              <w:rFonts w:ascii="Calibri" w:hAnsi="Calibri" w:cs="Calibri"/>
              <w:sz w:val="22"/>
            </w:rPr>
            <w:t>[5]</w:t>
          </w:r>
        </w:sdtContent>
      </w:sdt>
      <w:r w:rsidR="00932D17">
        <w:rPr>
          <w:rFonts w:ascii="Calibri" w:hAnsi="Calibri" w:cs="Calibri"/>
          <w:sz w:val="22"/>
          <w:szCs w:val="22"/>
        </w:rPr>
        <w:t> </w:t>
      </w:r>
      <w:r w:rsidR="00C73903" w:rsidRPr="00C73903">
        <w:rPr>
          <w:rFonts w:ascii="Calibri" w:hAnsi="Calibri" w:cs="Calibri"/>
          <w:sz w:val="22"/>
          <w:szCs w:val="22"/>
        </w:rPr>
        <w:t xml:space="preserve"> </w:t>
      </w:r>
      <w:r w:rsidR="00E5108E" w:rsidRPr="00E5108E">
        <w:rPr>
          <w:rFonts w:ascii="Calibri" w:hAnsi="Calibri" w:cs="Calibri"/>
          <w:sz w:val="22"/>
          <w:szCs w:val="22"/>
        </w:rPr>
        <w:t>have motivated nonclassical sensing architectures. What remains unclear is whether such channels improve practically relevant rough-surface metrology endpoints under fair comparison conditions.</w:t>
      </w:r>
    </w:p>
    <w:p w14:paraId="314ED6E6" w14:textId="77777777" w:rsidR="0073006C" w:rsidRDefault="0073006C" w:rsidP="0073006C">
      <w:pPr>
        <w:jc w:val="both"/>
        <w:rPr>
          <w:rFonts w:ascii="Calibri" w:hAnsi="Calibri" w:cs="Calibri"/>
          <w:sz w:val="22"/>
          <w:szCs w:val="22"/>
        </w:rPr>
      </w:pPr>
    </w:p>
    <w:p w14:paraId="56A29CC5" w14:textId="15B768E0" w:rsidR="00446824" w:rsidRDefault="00E5108E" w:rsidP="00446824">
      <w:pPr>
        <w:jc w:val="both"/>
        <w:rPr>
          <w:rFonts w:ascii="Calibri" w:hAnsi="Calibri" w:cs="Calibri"/>
          <w:sz w:val="22"/>
          <w:szCs w:val="22"/>
        </w:rPr>
      </w:pPr>
      <w:r w:rsidRPr="00E5108E">
        <w:rPr>
          <w:rFonts w:ascii="Calibri" w:hAnsi="Calibri" w:cs="Calibri"/>
          <w:sz w:val="22"/>
          <w:szCs w:val="22"/>
        </w:rPr>
        <w:t xml:space="preserve">This </w:t>
      </w:r>
      <w:r w:rsidR="00912A97">
        <w:rPr>
          <w:rFonts w:ascii="Calibri" w:hAnsi="Calibri" w:cs="Calibri"/>
          <w:sz w:val="22"/>
          <w:szCs w:val="22"/>
        </w:rPr>
        <w:t>work</w:t>
      </w:r>
      <w:r w:rsidRPr="00E5108E">
        <w:rPr>
          <w:rFonts w:ascii="Calibri" w:hAnsi="Calibri" w:cs="Calibri"/>
          <w:sz w:val="22"/>
          <w:szCs w:val="22"/>
        </w:rPr>
        <w:t xml:space="preserve"> presents a simulation benchmark of rough-surface profilometry comparing classical four-step phase-shifting interferometry (PSI), coincidence-proxy channels, and coarse-to-fine hybrid reconstruction under matched detected-count assumptions. The study uses 59 focus-variation (FV) topographies exported as Mountains/</w:t>
      </w:r>
      <w:proofErr w:type="spellStart"/>
      <w:r w:rsidRPr="00E5108E">
        <w:rPr>
          <w:rFonts w:ascii="Calibri" w:hAnsi="Calibri" w:cs="Calibri"/>
          <w:sz w:val="22"/>
          <w:szCs w:val="22"/>
        </w:rPr>
        <w:t>DigitalSurf.sur</w:t>
      </w:r>
      <w:proofErr w:type="spellEnd"/>
      <w:r w:rsidRPr="00E5108E">
        <w:rPr>
          <w:rFonts w:ascii="Calibri" w:hAnsi="Calibri" w:cs="Calibri"/>
          <w:sz w:val="22"/>
          <w:szCs w:val="22"/>
        </w:rPr>
        <w:t xml:space="preserve"> files as measured geometric references for simulated optical observations and is intended as a benchmark of reconstruction architectures rather than as a laboratory demonstration of quantum-enhanced metrology.</w:t>
      </w:r>
    </w:p>
    <w:p w14:paraId="59D2A6AD" w14:textId="77777777" w:rsidR="00E5108E" w:rsidRPr="00446824" w:rsidRDefault="00E5108E" w:rsidP="00446824">
      <w:pPr>
        <w:jc w:val="both"/>
        <w:rPr>
          <w:rFonts w:ascii="Calibri" w:hAnsi="Calibri" w:cs="Calibri"/>
          <w:sz w:val="22"/>
          <w:szCs w:val="22"/>
        </w:rPr>
      </w:pPr>
    </w:p>
    <w:p w14:paraId="399EB006" w14:textId="7A46F70F" w:rsidR="00446824" w:rsidRDefault="00E5108E" w:rsidP="00446824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/>
      </w:r>
      <w:r>
        <w:rPr>
          <w:rFonts w:ascii="Calibri" w:hAnsi="Calibri" w:cs="Calibri"/>
          <w:sz w:val="22"/>
          <w:szCs w:val="22"/>
        </w:rPr>
        <w:instrText xml:space="preserve"> REF _Ref227924674 \h </w:instrTex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  <w:fldChar w:fldCharType="separate"/>
      </w:r>
      <w:r w:rsidRPr="00932D17">
        <w:rPr>
          <w:color w:val="000000" w:themeColor="text1"/>
        </w:rPr>
        <w:t xml:space="preserve">Figure </w:t>
      </w:r>
      <w:r>
        <w:rPr>
          <w:noProof/>
          <w:color w:val="000000" w:themeColor="text1"/>
        </w:rPr>
        <w:t>1</w:t>
      </w:r>
      <w:r>
        <w:rPr>
          <w:rFonts w:ascii="Calibri" w:hAnsi="Calibri" w:cs="Calibri"/>
          <w:sz w:val="22"/>
          <w:szCs w:val="22"/>
        </w:rPr>
        <w:fldChar w:fldCharType="end"/>
      </w:r>
      <w:r w:rsidRPr="00E5108E">
        <w:rPr>
          <w:rFonts w:ascii="Calibri" w:hAnsi="Calibri" w:cs="Calibri"/>
          <w:sz w:val="22"/>
          <w:szCs w:val="22"/>
        </w:rPr>
        <w:t xml:space="preserve"> summarises the main robust result, which is limited to height fidelity: on the measured-surface benchmark</w:t>
      </w:r>
      <w:r>
        <w:rPr>
          <w:rFonts w:ascii="Calibri" w:hAnsi="Calibri" w:cs="Calibri"/>
          <w:sz w:val="22"/>
          <w:szCs w:val="22"/>
        </w:rPr>
        <w:t>,</w:t>
      </w:r>
      <w:r w:rsidRPr="00E5108E">
        <w:rPr>
          <w:rFonts w:ascii="Calibri" w:hAnsi="Calibri" w:cs="Calibri"/>
          <w:sz w:val="22"/>
          <w:szCs w:val="22"/>
        </w:rPr>
        <w:t xml:space="preserve"> the hybrid branch gives the lowest surface-level median detrended height RMSE (314</w:t>
      </w:r>
      <w:r w:rsidR="00912A97">
        <w:rPr>
          <w:rFonts w:ascii="Calibri" w:hAnsi="Calibri" w:cs="Calibri"/>
          <w:sz w:val="22"/>
          <w:szCs w:val="22"/>
        </w:rPr>
        <w:t xml:space="preserve"> </w:t>
      </w:r>
      <w:r w:rsidRPr="00E5108E">
        <w:rPr>
          <w:rFonts w:ascii="Calibri" w:hAnsi="Calibri" w:cs="Calibri"/>
          <w:sz w:val="22"/>
          <w:szCs w:val="22"/>
        </w:rPr>
        <w:t>nm), wins height RMSE on 32 of 59 surfaces, and remains below an optimistic classical-frontier oracle assembled from stronger auxiliary classical workflows (559</w:t>
      </w:r>
      <w:r w:rsidR="00DD3356">
        <w:rPr>
          <w:rFonts w:ascii="Calibri" w:hAnsi="Calibri" w:cs="Calibri"/>
          <w:sz w:val="22"/>
          <w:szCs w:val="22"/>
        </w:rPr>
        <w:t xml:space="preserve"> </w:t>
      </w:r>
      <w:r w:rsidRPr="00E5108E">
        <w:rPr>
          <w:rFonts w:ascii="Calibri" w:hAnsi="Calibri" w:cs="Calibri"/>
          <w:sz w:val="22"/>
          <w:szCs w:val="22"/>
        </w:rPr>
        <w:t xml:space="preserve">nm). Roughness-endpoint rankings are weaker and must be read cautiously. </w:t>
      </w:r>
      <w:r>
        <w:rPr>
          <w:rFonts w:ascii="Calibri" w:hAnsi="Calibri" w:cs="Calibri"/>
          <w:sz w:val="22"/>
          <w:szCs w:val="22"/>
        </w:rPr>
        <w:fldChar w:fldCharType="begin"/>
      </w:r>
      <w:r>
        <w:rPr>
          <w:rFonts w:ascii="Calibri" w:hAnsi="Calibri" w:cs="Calibri"/>
          <w:sz w:val="22"/>
          <w:szCs w:val="22"/>
        </w:rPr>
        <w:instrText xml:space="preserve"> REF _Ref227924696 \h </w:instrTex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  <w:fldChar w:fldCharType="separate"/>
      </w:r>
      <w:r w:rsidRPr="00E5108E">
        <w:rPr>
          <w:color w:val="000000" w:themeColor="text1"/>
        </w:rPr>
        <w:t xml:space="preserve">Figure </w:t>
      </w:r>
      <w:r w:rsidRPr="00E5108E">
        <w:rPr>
          <w:noProof/>
          <w:color w:val="000000" w:themeColor="text1"/>
        </w:rPr>
        <w:t>2</w:t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 w:rsidRPr="00E5108E">
        <w:rPr>
          <w:rFonts w:ascii="Calibri" w:hAnsi="Calibri" w:cs="Calibri"/>
          <w:sz w:val="22"/>
          <w:szCs w:val="22"/>
        </w:rPr>
        <w:t xml:space="preserve">shows the corresponding native-grid roughness comparison. A matched-bandwidth control shows that the apparent native-grid </w:t>
      </w:r>
      <w:proofErr w:type="spellStart"/>
      <w:r w:rsidRPr="00DD3356">
        <w:rPr>
          <w:rFonts w:ascii="Calibri" w:hAnsi="Calibri" w:cs="Calibri"/>
          <w:i/>
          <w:iCs/>
          <w:sz w:val="22"/>
          <w:szCs w:val="22"/>
        </w:rPr>
        <w:t>Sq</w:t>
      </w:r>
      <w:proofErr w:type="spellEnd"/>
      <w:r w:rsidRPr="00E5108E">
        <w:rPr>
          <w:rFonts w:ascii="Calibri" w:hAnsi="Calibri" w:cs="Calibri"/>
          <w:sz w:val="22"/>
          <w:szCs w:val="22"/>
        </w:rPr>
        <w:t xml:space="preserve"> advantage of the direct coincidence-proxy branch is largely explained by reference-bandwidth mismatch</w:t>
      </w:r>
      <w:r w:rsidR="00DD3356">
        <w:rPr>
          <w:rFonts w:ascii="Calibri" w:hAnsi="Calibri" w:cs="Calibri"/>
          <w:sz w:val="22"/>
          <w:szCs w:val="22"/>
        </w:rPr>
        <w:t>.</w:t>
      </w:r>
      <w:r w:rsidRPr="00E5108E">
        <w:rPr>
          <w:rFonts w:ascii="Calibri" w:hAnsi="Calibri" w:cs="Calibri"/>
          <w:sz w:val="22"/>
          <w:szCs w:val="22"/>
        </w:rPr>
        <w:t xml:space="preserve"> </w:t>
      </w:r>
      <w:r w:rsidR="00DD3356">
        <w:rPr>
          <w:rFonts w:ascii="Calibri" w:hAnsi="Calibri" w:cs="Calibri"/>
          <w:sz w:val="22"/>
          <w:szCs w:val="22"/>
        </w:rPr>
        <w:t>T</w:t>
      </w:r>
      <w:r w:rsidRPr="00E5108E">
        <w:rPr>
          <w:rFonts w:ascii="Calibri" w:hAnsi="Calibri" w:cs="Calibri"/>
          <w:sz w:val="22"/>
          <w:szCs w:val="22"/>
        </w:rPr>
        <w:t xml:space="preserve">reatment holdouts reduce agreement to 50.0% for </w:t>
      </w:r>
      <m:oMath>
        <m:d>
          <m:dPr>
            <m:begChr m:val="|"/>
            <m:endChr m:val="|"/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Δ</m:t>
            </m:r>
            <m:r>
              <w:rPr>
                <w:rFonts w:ascii="Cambria Math" w:hAnsi="Cambria Math" w:cs="Calibri"/>
                <w:sz w:val="22"/>
                <w:szCs w:val="22"/>
              </w:rPr>
              <m:t>Sa</m:t>
            </m:r>
          </m:e>
        </m:d>
      </m:oMath>
      <w:r w:rsidRPr="00E5108E">
        <w:rPr>
          <w:rFonts w:ascii="Calibri" w:hAnsi="Calibri" w:cs="Calibri"/>
          <w:sz w:val="22"/>
          <w:szCs w:val="22"/>
        </w:rPr>
        <w:t xml:space="preserve"> and 0.0% for </w:t>
      </w:r>
      <m:oMath>
        <m:d>
          <m:dPr>
            <m:begChr m:val="|"/>
            <m:endChr m:val="|"/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Δ</m:t>
            </m:r>
            <m:r>
              <w:rPr>
                <w:rFonts w:ascii="Cambria Math" w:hAnsi="Cambria Math" w:cs="Calibri"/>
                <w:sz w:val="22"/>
                <w:szCs w:val="22"/>
              </w:rPr>
              <m:t>Sq</m:t>
            </m:r>
          </m:e>
        </m:d>
      </m:oMath>
      <w:r w:rsidR="00DD3356">
        <w:rPr>
          <w:rFonts w:ascii="Calibri" w:hAnsi="Calibri" w:cs="Calibri"/>
          <w:sz w:val="22"/>
          <w:szCs w:val="22"/>
        </w:rPr>
        <w:t xml:space="preserve">, </w:t>
      </w:r>
      <w:r w:rsidRPr="00E5108E">
        <w:rPr>
          <w:rFonts w:ascii="Calibri" w:hAnsi="Calibri" w:cs="Calibri"/>
          <w:sz w:val="22"/>
          <w:szCs w:val="22"/>
        </w:rPr>
        <w:t xml:space="preserve">and even the best native-grid </w:t>
      </w:r>
      <m:oMath>
        <m:d>
          <m:dPr>
            <m:begChr m:val="|"/>
            <m:endChr m:val="|"/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Δ</m:t>
            </m:r>
            <m:r>
              <w:rPr>
                <w:rFonts w:ascii="Cambria Math" w:hAnsi="Cambria Math" w:cs="Calibri"/>
                <w:sz w:val="22"/>
                <w:szCs w:val="22"/>
              </w:rPr>
              <m:t>Sz</m:t>
            </m:r>
          </m:e>
        </m:d>
      </m:oMath>
      <w:r w:rsidRPr="00E5108E">
        <w:rPr>
          <w:rFonts w:ascii="Calibri" w:hAnsi="Calibri" w:cs="Calibri"/>
          <w:sz w:val="22"/>
          <w:szCs w:val="22"/>
        </w:rPr>
        <w:t xml:space="preserve"> branch exceeds the descriptor-scaled tolerance band on 74.6% of surfaces. Classical two-colour and classical-frontier controls further show that envelope-following behaviour is not uniquely nonclassical.</w:t>
      </w:r>
    </w:p>
    <w:p w14:paraId="52D3F01D" w14:textId="77777777" w:rsidR="00E5108E" w:rsidRPr="00446824" w:rsidRDefault="00E5108E" w:rsidP="00446824">
      <w:pPr>
        <w:jc w:val="both"/>
        <w:rPr>
          <w:rFonts w:ascii="Calibri" w:hAnsi="Calibri" w:cs="Calibri"/>
          <w:sz w:val="22"/>
          <w:szCs w:val="22"/>
        </w:rPr>
      </w:pPr>
    </w:p>
    <w:p w14:paraId="31EB28EC" w14:textId="62E3E189" w:rsidR="00446824" w:rsidRDefault="00E5108E" w:rsidP="00446824">
      <w:pPr>
        <w:jc w:val="both"/>
        <w:rPr>
          <w:rFonts w:ascii="Calibri" w:hAnsi="Calibri" w:cs="Calibri"/>
          <w:sz w:val="22"/>
          <w:szCs w:val="22"/>
        </w:rPr>
      </w:pPr>
      <w:r w:rsidRPr="00E5108E">
        <w:rPr>
          <w:rFonts w:ascii="Calibri" w:hAnsi="Calibri" w:cs="Calibri"/>
          <w:sz w:val="22"/>
          <w:szCs w:val="22"/>
        </w:rPr>
        <w:t xml:space="preserve">A rate-based coincidence control </w:t>
      </w:r>
      <w:r>
        <w:rPr>
          <w:rFonts w:ascii="Calibri" w:hAnsi="Calibri" w:cs="Calibri"/>
          <w:sz w:val="22"/>
          <w:szCs w:val="22"/>
        </w:rPr>
        <w:t>yield</w:t>
      </w:r>
      <w:r w:rsidRPr="00E5108E">
        <w:rPr>
          <w:rFonts w:ascii="Calibri" w:hAnsi="Calibri" w:cs="Calibri"/>
          <w:sz w:val="22"/>
          <w:szCs w:val="22"/>
        </w:rPr>
        <w:t>s the same conclusion: under ideal matched-count rates</w:t>
      </w:r>
      <w:r>
        <w:rPr>
          <w:rFonts w:ascii="Calibri" w:hAnsi="Calibri" w:cs="Calibri"/>
          <w:sz w:val="22"/>
          <w:szCs w:val="22"/>
        </w:rPr>
        <w:t>,</w:t>
      </w:r>
      <w:r w:rsidRPr="00E5108E">
        <w:rPr>
          <w:rFonts w:ascii="Calibri" w:hAnsi="Calibri" w:cs="Calibri"/>
          <w:sz w:val="22"/>
          <w:szCs w:val="22"/>
        </w:rPr>
        <w:t xml:space="preserve"> the hybrid branch remains best in height RMSE (29</w:t>
      </w:r>
      <w:r w:rsidR="0012271A">
        <w:rPr>
          <w:rFonts w:ascii="Calibri" w:hAnsi="Calibri" w:cs="Calibri"/>
          <w:sz w:val="22"/>
          <w:szCs w:val="22"/>
        </w:rPr>
        <w:t>1</w:t>
      </w:r>
      <w:r>
        <w:rPr>
          <w:rFonts w:ascii="Calibri" w:hAnsi="Calibri" w:cs="Calibri"/>
          <w:sz w:val="22"/>
          <w:szCs w:val="22"/>
        </w:rPr>
        <w:t xml:space="preserve"> </w:t>
      </w:r>
      <w:r w:rsidRPr="00E5108E">
        <w:rPr>
          <w:rFonts w:ascii="Calibri" w:hAnsi="Calibri" w:cs="Calibri"/>
          <w:sz w:val="22"/>
          <w:szCs w:val="22"/>
        </w:rPr>
        <w:t>nm), while under non-ideal detector assumptions</w:t>
      </w:r>
      <w:r>
        <w:rPr>
          <w:rFonts w:ascii="Calibri" w:hAnsi="Calibri" w:cs="Calibri"/>
          <w:sz w:val="22"/>
          <w:szCs w:val="22"/>
        </w:rPr>
        <w:t>,</w:t>
      </w:r>
      <w:r w:rsidRPr="00E5108E">
        <w:rPr>
          <w:rFonts w:ascii="Calibri" w:hAnsi="Calibri" w:cs="Calibri"/>
          <w:sz w:val="22"/>
          <w:szCs w:val="22"/>
        </w:rPr>
        <w:t xml:space="preserve"> the direct branch degrades to 1308</w:t>
      </w:r>
      <w:r>
        <w:rPr>
          <w:rFonts w:ascii="Calibri" w:hAnsi="Calibri" w:cs="Calibri"/>
          <w:sz w:val="22"/>
          <w:szCs w:val="22"/>
        </w:rPr>
        <w:t xml:space="preserve"> </w:t>
      </w:r>
      <w:r w:rsidRPr="00E5108E">
        <w:rPr>
          <w:rFonts w:ascii="Calibri" w:hAnsi="Calibri" w:cs="Calibri"/>
          <w:sz w:val="22"/>
          <w:szCs w:val="22"/>
        </w:rPr>
        <w:t>nm and the hybrid to 376</w:t>
      </w:r>
      <w:r>
        <w:rPr>
          <w:rFonts w:ascii="Calibri" w:hAnsi="Calibri" w:cs="Calibri"/>
          <w:sz w:val="22"/>
          <w:szCs w:val="22"/>
        </w:rPr>
        <w:t xml:space="preserve"> </w:t>
      </w:r>
      <w:r w:rsidRPr="00E5108E">
        <w:rPr>
          <w:rFonts w:ascii="Calibri" w:hAnsi="Calibri" w:cs="Calibri"/>
          <w:sz w:val="22"/>
          <w:szCs w:val="22"/>
        </w:rPr>
        <w:t>nm. The supported design rule is therefore architectural and narrow: within the present proxy benchmark, coincidence-derived information is most defensible as a coarse absolute-height prior inside a hybrid estimator when fixed-workflow height fidelity is the primary endpoint. Experimental validation remains necessary before stronger quantum-metrology claims can be made.</w:t>
      </w:r>
    </w:p>
    <w:p w14:paraId="284B37B4" w14:textId="77777777" w:rsidR="00E5108E" w:rsidRDefault="00E5108E" w:rsidP="00446824">
      <w:pPr>
        <w:jc w:val="both"/>
        <w:rPr>
          <w:rFonts w:ascii="Calibri" w:hAnsi="Calibri" w:cs="Calibri"/>
          <w:sz w:val="22"/>
          <w:szCs w:val="22"/>
        </w:rPr>
      </w:pPr>
    </w:p>
    <w:p w14:paraId="4C6C0303" w14:textId="4B394D2F" w:rsidR="000569F3" w:rsidRPr="00F22F60" w:rsidRDefault="00446824" w:rsidP="00F22F60">
      <w:pPr>
        <w:jc w:val="both"/>
        <w:rPr>
          <w:rFonts w:ascii="Calibri" w:hAnsi="Calibri" w:cs="Calibri"/>
          <w:sz w:val="16"/>
          <w:szCs w:val="16"/>
        </w:rPr>
      </w:pPr>
      <w:r w:rsidRPr="00446824">
        <w:rPr>
          <w:rFonts w:ascii="Calibri" w:hAnsi="Calibri" w:cs="Calibri"/>
          <w:noProof/>
          <w:sz w:val="16"/>
          <w:szCs w:val="16"/>
          <w:lang w:val="pl-PL" w:eastAsia="pl-P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1A583F" wp14:editId="1CA50F68">
                <wp:simplePos x="0" y="0"/>
                <wp:positionH relativeFrom="column">
                  <wp:posOffset>-52705</wp:posOffset>
                </wp:positionH>
                <wp:positionV relativeFrom="paragraph">
                  <wp:posOffset>373592</wp:posOffset>
                </wp:positionV>
                <wp:extent cx="6113721" cy="0"/>
                <wp:effectExtent l="0" t="0" r="20955" b="19050"/>
                <wp:wrapNone/>
                <wp:docPr id="1316266943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372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D92200" id="Straight Connector 2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15pt,29.4pt" to="477.25pt,29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"/>
            </w:pict>
          </mc:Fallback>
        </mc:AlternateContent>
      </w:r>
      <w:r w:rsidRPr="00446824">
        <w:rPr>
          <w:rFonts w:ascii="Calibri" w:hAnsi="Calibri" w:cs="Calibri"/>
          <w:sz w:val="16"/>
          <w:szCs w:val="16"/>
        </w:rPr>
        <w:t>Keywords:</w:t>
      </w:r>
      <w:r w:rsidR="00E5108E">
        <w:rPr>
          <w:rFonts w:ascii="Calibri" w:hAnsi="Calibri" w:cs="Calibri"/>
          <w:sz w:val="16"/>
          <w:szCs w:val="16"/>
        </w:rPr>
        <w:t xml:space="preserve"> </w:t>
      </w:r>
      <w:r w:rsidRPr="00446824">
        <w:rPr>
          <w:rFonts w:ascii="Calibri" w:hAnsi="Calibri" w:cs="Calibri"/>
          <w:sz w:val="16"/>
          <w:szCs w:val="16"/>
        </w:rPr>
        <w:t>coincidence-proxy interferometry; simulation benchmark; surface profilometry; hybrid reconstruction; coarse-to-fine reconstruction; phase-shifting interferometry; synthetic wavelength; roughness metrology; focus-variation microscopy; areal surface texture</w:t>
      </w:r>
      <w:r w:rsidRPr="00446824">
        <w:rPr>
          <w:rFonts w:ascii="Calibri" w:hAnsi="Calibri" w:cs="Calibri"/>
          <w:noProof/>
          <w:sz w:val="16"/>
          <w:szCs w:val="16"/>
          <w:lang w:val="pl-PL" w:eastAsia="pl-PL"/>
        </w:rPr>
        <w:t xml:space="preserve"> </w:t>
      </w:r>
    </w:p>
    <w:p w14:paraId="46B5D658" w14:textId="153925CE" w:rsidR="00932D17" w:rsidRDefault="00932D17" w:rsidP="00932D17">
      <w:pPr>
        <w:keepNext/>
      </w:pPr>
      <w:r>
        <w:rPr>
          <w:noProof/>
        </w:rPr>
        <w:lastRenderedPageBreak/>
        <w:drawing>
          <wp:inline distT="0" distB="0" distL="0" distR="0" wp14:anchorId="40671F7B" wp14:editId="1BA949D9">
            <wp:extent cx="6120130" cy="2706370"/>
            <wp:effectExtent l="0" t="0" r="1270" b="0"/>
            <wp:docPr id="2123517971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17971" name="Obraz 212351797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A27C" w14:textId="2ACD4083" w:rsidR="00031E12" w:rsidRPr="00932D17" w:rsidRDefault="00932D17" w:rsidP="00932D17">
      <w:pPr>
        <w:pStyle w:val="Legenda"/>
        <w:rPr>
          <w:color w:val="000000" w:themeColor="text1"/>
        </w:rPr>
      </w:pPr>
      <w:bookmarkStart w:id="0" w:name="_Ref227924674"/>
      <w:r w:rsidRPr="00932D17">
        <w:rPr>
          <w:color w:val="000000" w:themeColor="text1"/>
        </w:rPr>
        <w:t xml:space="preserve">Figure </w:t>
      </w:r>
      <w:r w:rsidRPr="00932D17">
        <w:rPr>
          <w:color w:val="000000" w:themeColor="text1"/>
        </w:rPr>
        <w:fldChar w:fldCharType="begin"/>
      </w:r>
      <w:r w:rsidRPr="00932D17">
        <w:rPr>
          <w:color w:val="000000" w:themeColor="text1"/>
        </w:rPr>
        <w:instrText xml:space="preserve"> SEQ Figure \* ARABIC </w:instrText>
      </w:r>
      <w:r w:rsidRPr="00932D17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1</w:t>
      </w:r>
      <w:r w:rsidRPr="00932D17">
        <w:rPr>
          <w:color w:val="000000" w:themeColor="text1"/>
        </w:rPr>
        <w:fldChar w:fldCharType="end"/>
      </w:r>
      <w:bookmarkEnd w:id="0"/>
      <w:r w:rsidRPr="00932D17">
        <w:rPr>
          <w:color w:val="000000" w:themeColor="text1"/>
        </w:rPr>
        <w:t xml:space="preserve">. </w:t>
      </w:r>
      <w:r w:rsidR="00E5108E" w:rsidRPr="00E5108E">
        <w:rPr>
          <w:color w:val="000000" w:themeColor="text1"/>
        </w:rPr>
        <w:t xml:space="preserve">Measured-surface benchmark summary across all FV </w:t>
      </w:r>
      <w:r w:rsidR="00E5108E">
        <w:rPr>
          <w:color w:val="000000" w:themeColor="text1"/>
        </w:rPr>
        <w:t>*</w:t>
      </w:r>
      <w:r w:rsidR="00E5108E" w:rsidRPr="00E5108E">
        <w:rPr>
          <w:color w:val="000000" w:themeColor="text1"/>
        </w:rPr>
        <w:t>.sur samples: height RMSE distributions by method and RMSE trends vs surface roughness. All values are computed from the measured height maps (after plane detrending).</w:t>
      </w:r>
    </w:p>
    <w:p w14:paraId="210AB336" w14:textId="77777777" w:rsidR="00932D17" w:rsidRDefault="00932D17" w:rsidP="00932D17">
      <w:pPr>
        <w:keepNext/>
      </w:pPr>
      <w:r>
        <w:rPr>
          <w:noProof/>
        </w:rPr>
        <w:drawing>
          <wp:inline distT="0" distB="0" distL="0" distR="0" wp14:anchorId="4087DBAF" wp14:editId="438161D9">
            <wp:extent cx="6120130" cy="2333625"/>
            <wp:effectExtent l="0" t="0" r="1270" b="3175"/>
            <wp:docPr id="229311219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11219" name="Obraz 2293112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6E54" w14:textId="3AE88D56" w:rsidR="00932D17" w:rsidRPr="00E5108E" w:rsidRDefault="00932D17" w:rsidP="00E5108E">
      <w:pPr>
        <w:pStyle w:val="Legenda"/>
        <w:jc w:val="both"/>
        <w:rPr>
          <w:color w:val="000000" w:themeColor="text1"/>
        </w:rPr>
      </w:pPr>
      <w:bookmarkStart w:id="1" w:name="_Ref227924696"/>
      <w:r w:rsidRPr="00E5108E">
        <w:rPr>
          <w:color w:val="000000" w:themeColor="text1"/>
        </w:rPr>
        <w:t xml:space="preserve">Figure </w:t>
      </w:r>
      <w:r w:rsidRPr="00E5108E">
        <w:rPr>
          <w:color w:val="000000" w:themeColor="text1"/>
        </w:rPr>
        <w:fldChar w:fldCharType="begin"/>
      </w:r>
      <w:r w:rsidRPr="00E5108E">
        <w:rPr>
          <w:color w:val="000000" w:themeColor="text1"/>
        </w:rPr>
        <w:instrText xml:space="preserve"> SEQ Figure \* ARABIC </w:instrText>
      </w:r>
      <w:r w:rsidRPr="00E5108E">
        <w:rPr>
          <w:color w:val="000000" w:themeColor="text1"/>
        </w:rPr>
        <w:fldChar w:fldCharType="separate"/>
      </w:r>
      <w:r w:rsidRPr="00E5108E">
        <w:rPr>
          <w:noProof/>
          <w:color w:val="000000" w:themeColor="text1"/>
        </w:rPr>
        <w:t>2</w:t>
      </w:r>
      <w:r w:rsidRPr="00E5108E">
        <w:rPr>
          <w:noProof/>
          <w:color w:val="000000" w:themeColor="text1"/>
        </w:rPr>
        <w:fldChar w:fldCharType="end"/>
      </w:r>
      <w:bookmarkEnd w:id="1"/>
      <w:r w:rsidRPr="00E5108E">
        <w:rPr>
          <w:color w:val="000000" w:themeColor="text1"/>
        </w:rPr>
        <w:t xml:space="preserve">. </w:t>
      </w:r>
      <w:r w:rsidR="00E5108E" w:rsidRPr="00E5108E">
        <w:rPr>
          <w:color w:val="000000" w:themeColor="text1"/>
        </w:rPr>
        <w:t xml:space="preserve">Direct comparison of areal roughness parameters estimated from the simulated interferometric reconstructions against the corresponding values computed from the </w:t>
      </w:r>
      <w:proofErr w:type="spellStart"/>
      <w:r w:rsidR="00E5108E" w:rsidRPr="00E5108E">
        <w:rPr>
          <w:color w:val="000000" w:themeColor="text1"/>
        </w:rPr>
        <w:t>Alicona</w:t>
      </w:r>
      <w:proofErr w:type="spellEnd"/>
      <w:r w:rsidR="00E5108E" w:rsidRPr="00E5108E">
        <w:rPr>
          <w:color w:val="000000" w:themeColor="text1"/>
        </w:rPr>
        <w:t xml:space="preserve"> reference height maps. Each point is one measured </w:t>
      </w:r>
      <w:r w:rsidR="00E5108E">
        <w:rPr>
          <w:color w:val="000000" w:themeColor="text1"/>
        </w:rPr>
        <w:t>*</w:t>
      </w:r>
      <w:r w:rsidR="00E5108E" w:rsidRPr="00E5108E">
        <w:rPr>
          <w:color w:val="000000" w:themeColor="text1"/>
        </w:rPr>
        <w:t xml:space="preserve">.sur surface; the dashed line marks perfect agreement. This native-grid view is diagnostic rather than definitive for workflow selection because the interferometric forward model operates on the </w:t>
      </w:r>
      <w:proofErr w:type="spellStart"/>
      <w:r w:rsidR="00E5108E" w:rsidRPr="00E5108E">
        <w:rPr>
          <w:color w:val="000000" w:themeColor="text1"/>
        </w:rPr>
        <w:t>downsampled</w:t>
      </w:r>
      <w:proofErr w:type="spellEnd"/>
      <w:r w:rsidR="00E5108E" w:rsidRPr="00E5108E">
        <w:rPr>
          <w:color w:val="000000" w:themeColor="text1"/>
        </w:rPr>
        <w:t xml:space="preserve"> benchmark grid. The hybrid branch remains strongest for Sa, whereas the direct coincidence-proxy branch more often follows the native-grid </w:t>
      </w:r>
      <w:proofErr w:type="spellStart"/>
      <w:r w:rsidR="00E5108E" w:rsidRPr="00E5108E">
        <w:rPr>
          <w:color w:val="000000" w:themeColor="text1"/>
        </w:rPr>
        <w:t>Sq</w:t>
      </w:r>
      <w:proofErr w:type="spellEnd"/>
      <w:r w:rsidR="00E5108E" w:rsidRPr="00E5108E">
        <w:rPr>
          <w:color w:val="000000" w:themeColor="text1"/>
        </w:rPr>
        <w:t xml:space="preserve"> and </w:t>
      </w:r>
      <w:proofErr w:type="spellStart"/>
      <w:r w:rsidR="00E5108E" w:rsidRPr="00E5108E">
        <w:rPr>
          <w:color w:val="000000" w:themeColor="text1"/>
        </w:rPr>
        <w:t>Sz</w:t>
      </w:r>
      <w:proofErr w:type="spellEnd"/>
      <w:r w:rsidR="00E5108E" w:rsidRPr="00E5108E">
        <w:rPr>
          <w:color w:val="000000" w:themeColor="text1"/>
        </w:rPr>
        <w:t xml:space="preserve"> values because it retains broad-envelope excursions more readily than fine texture</w:t>
      </w:r>
      <w:r w:rsidRPr="00E5108E">
        <w:rPr>
          <w:color w:val="000000" w:themeColor="text1"/>
        </w:rPr>
        <w:t>.</w:t>
      </w:r>
    </w:p>
    <w:p w14:paraId="0A57A454" w14:textId="35424AB8" w:rsidR="00F22F60" w:rsidRPr="00F22F60" w:rsidRDefault="00F22F60" w:rsidP="00F22F60">
      <w:pPr>
        <w:jc w:val="both"/>
        <w:rPr>
          <w:rFonts w:ascii="Calibri" w:hAnsi="Calibri" w:cs="Calibri"/>
          <w:bCs/>
          <w:sz w:val="16"/>
          <w:szCs w:val="16"/>
        </w:rPr>
      </w:pPr>
      <w:r w:rsidRPr="00F22F60">
        <w:rPr>
          <w:rFonts w:ascii="Calibri" w:hAnsi="Calibri" w:cs="Calibri"/>
          <w:bCs/>
          <w:sz w:val="16"/>
          <w:szCs w:val="16"/>
        </w:rPr>
        <w:t>Funding: This work was supported by a grant from the Polish Ministry of</w:t>
      </w:r>
      <w:r>
        <w:rPr>
          <w:rFonts w:ascii="Calibri" w:hAnsi="Calibri" w:cs="Calibri"/>
          <w:bCs/>
          <w:sz w:val="16"/>
          <w:szCs w:val="16"/>
        </w:rPr>
        <w:t xml:space="preserve"> </w:t>
      </w:r>
      <w:r w:rsidRPr="00F22F60">
        <w:rPr>
          <w:rFonts w:ascii="Calibri" w:hAnsi="Calibri" w:cs="Calibri"/>
          <w:bCs/>
          <w:sz w:val="16"/>
          <w:szCs w:val="16"/>
        </w:rPr>
        <w:t xml:space="preserve">Science under the programme “Polish Metrology II” (Polska </w:t>
      </w:r>
      <w:proofErr w:type="spellStart"/>
      <w:r w:rsidRPr="00F22F60">
        <w:rPr>
          <w:rFonts w:ascii="Calibri" w:hAnsi="Calibri" w:cs="Calibri"/>
          <w:bCs/>
          <w:sz w:val="16"/>
          <w:szCs w:val="16"/>
        </w:rPr>
        <w:t>Metrologia</w:t>
      </w:r>
      <w:proofErr w:type="spellEnd"/>
      <w:r w:rsidRPr="00F22F60">
        <w:rPr>
          <w:rFonts w:ascii="Calibri" w:hAnsi="Calibri" w:cs="Calibri"/>
          <w:bCs/>
          <w:sz w:val="16"/>
          <w:szCs w:val="16"/>
        </w:rPr>
        <w:t xml:space="preserve"> II,</w:t>
      </w:r>
    </w:p>
    <w:p w14:paraId="7E80F85F" w14:textId="7052E3D4" w:rsidR="00F22F60" w:rsidRPr="00F22F60" w:rsidRDefault="00F22F60" w:rsidP="00DA1F3E">
      <w:pPr>
        <w:jc w:val="both"/>
        <w:rPr>
          <w:rFonts w:ascii="Calibri" w:hAnsi="Calibri" w:cs="Calibri"/>
          <w:bCs/>
          <w:sz w:val="16"/>
          <w:szCs w:val="16"/>
        </w:rPr>
      </w:pPr>
      <w:r w:rsidRPr="00F22F60">
        <w:rPr>
          <w:rFonts w:ascii="Calibri" w:hAnsi="Calibri" w:cs="Calibri"/>
          <w:bCs/>
          <w:sz w:val="16"/>
          <w:szCs w:val="16"/>
        </w:rPr>
        <w:t>Poland), project no. PM-II/SP/0090/2024/02.</w:t>
      </w:r>
    </w:p>
    <w:p w14:paraId="45466741" w14:textId="14888BED" w:rsidR="00EA79C4" w:rsidRDefault="00DA1F3E" w:rsidP="00DA1F3E">
      <w:pPr>
        <w:jc w:val="both"/>
        <w:rPr>
          <w:rFonts w:ascii="Calibri" w:hAnsi="Calibri" w:cs="Calibri"/>
          <w:b/>
          <w:sz w:val="20"/>
          <w:szCs w:val="20"/>
        </w:rPr>
        <w:sectPr w:rsidR="00EA79C4" w:rsidSect="008C2DC8">
          <w:headerReference w:type="default" r:id="rId13"/>
          <w:headerReference w:type="first" r:id="rId14"/>
          <w:type w:val="continuous"/>
          <w:pgSz w:w="11906" w:h="16838" w:code="9"/>
          <w:pgMar w:top="1314" w:right="1134" w:bottom="992" w:left="1134" w:header="503" w:footer="709" w:gutter="0"/>
          <w:cols w:space="312"/>
          <w:formProt w:val="0"/>
          <w:docGrid w:linePitch="360"/>
        </w:sectPr>
      </w:pPr>
      <w:r w:rsidRPr="00EA79C4">
        <w:rPr>
          <w:rFonts w:ascii="Calibri" w:hAnsi="Calibri" w:cs="Calibri"/>
          <w:b/>
        </w:rPr>
        <w:t>References</w:t>
      </w:r>
      <w:r w:rsidR="00732AA2" w:rsidRPr="00EA79C4">
        <w:rPr>
          <w:rFonts w:ascii="Calibri" w:hAnsi="Calibri" w:cs="Calibri"/>
          <w:b/>
        </w:rPr>
        <w:t xml:space="preserve">   </w:t>
      </w:r>
      <w:r w:rsidR="00EA79C4">
        <w:rPr>
          <w:rFonts w:ascii="Calibri" w:hAnsi="Calibri" w:cs="Calibri"/>
          <w:b/>
          <w:sz w:val="20"/>
          <w:szCs w:val="20"/>
        </w:rPr>
        <w:tab/>
      </w:r>
      <w:r w:rsidR="00EA79C4">
        <w:rPr>
          <w:rFonts w:ascii="Calibri" w:hAnsi="Calibri" w:cs="Calibri"/>
          <w:b/>
          <w:sz w:val="20"/>
          <w:szCs w:val="20"/>
        </w:rPr>
        <w:tab/>
      </w:r>
    </w:p>
    <w:p w14:paraId="3C46E9B4" w14:textId="77777777" w:rsidR="00DA1F3E" w:rsidRPr="00732AA2" w:rsidRDefault="00DA1F3E" w:rsidP="00DA1F3E">
      <w:pPr>
        <w:jc w:val="both"/>
        <w:rPr>
          <w:rFonts w:ascii="Calibri" w:hAnsi="Calibri" w:cs="Calibri"/>
          <w:color w:val="FF0000"/>
          <w:sz w:val="8"/>
          <w:szCs w:val="8"/>
        </w:rPr>
      </w:pPr>
    </w:p>
    <w:sdt>
      <w:sdtPr>
        <w:rPr>
          <w:rFonts w:ascii="Calibri" w:eastAsiaTheme="minorEastAsia" w:hAnsi="Calibri" w:cs="Calibri"/>
          <w:sz w:val="16"/>
          <w:szCs w:val="14"/>
          <w:lang w:val="pl-PL" w:eastAsia="pl-PL"/>
        </w:rPr>
        <w:alias w:val="SmartCite Bibliography"/>
        <w:tag w:val="IOP Conference Series: Materials Science and Engineering+{&quot;language&quot;:&quot;en-US&quot;,&quot;isSectionsModeOn&quot;:false}"/>
        <w:id w:val="-430669249"/>
        <w:placeholder>
          <w:docPart w:val="DefaultPlaceholder_-1854013440"/>
        </w:placeholder>
      </w:sdtPr>
      <w:sdtContent>
        <w:p w14:paraId="07F22D3B" w14:textId="15F0CCC8" w:rsidR="00932D17" w:rsidRPr="00932D17" w:rsidRDefault="00932D17" w:rsidP="00B451E2">
          <w:pPr>
            <w:rPr>
              <w:rFonts w:ascii="Calibri" w:eastAsiaTheme="minorEastAsia" w:hAnsi="Calibri" w:cs="Calibri"/>
              <w:sz w:val="16"/>
            </w:rPr>
          </w:pPr>
          <w:r w:rsidRPr="00932D17">
            <w:rPr>
              <w:rFonts w:ascii="Calibri" w:hAnsi="Calibri" w:cs="Calibri"/>
              <w:sz w:val="16"/>
            </w:rPr>
            <w:t xml:space="preserve">[1] </w:t>
          </w:r>
          <w:proofErr w:type="spellStart"/>
          <w:r w:rsidRPr="00932D17">
            <w:rPr>
              <w:rFonts w:ascii="Calibri" w:hAnsi="Calibri" w:cs="Calibri"/>
              <w:sz w:val="16"/>
            </w:rPr>
            <w:t>Vorburger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T V and Teague E C 1981 Optical techniques for on-line measurement of surface topography</w:t>
          </w:r>
          <w:r w:rsidR="00E3124F">
            <w:rPr>
              <w:rFonts w:ascii="Calibri" w:hAnsi="Calibri" w:cs="Calibri"/>
              <w:sz w:val="16"/>
            </w:rPr>
            <w:t>.</w:t>
          </w:r>
          <w:r w:rsidRPr="00932D17">
            <w:rPr>
              <w:rFonts w:ascii="Calibri" w:hAnsi="Calibri" w:cs="Calibri"/>
              <w:sz w:val="16"/>
            </w:rPr>
            <w:t xml:space="preserve"> </w:t>
          </w:r>
          <w:r w:rsidRPr="00932D17">
            <w:rPr>
              <w:rFonts w:ascii="Calibri" w:hAnsi="Calibri" w:cs="Calibri"/>
              <w:i/>
              <w:iCs/>
              <w:sz w:val="16"/>
            </w:rPr>
            <w:t>Precision Engineering</w:t>
          </w:r>
          <w:r w:rsidRPr="00932D17">
            <w:rPr>
              <w:rFonts w:ascii="Calibri" w:hAnsi="Calibri" w:cs="Calibri"/>
              <w:sz w:val="16"/>
            </w:rPr>
            <w:t xml:space="preserve"> </w:t>
          </w:r>
          <w:r w:rsidRPr="00932D17">
            <w:rPr>
              <w:rFonts w:ascii="Calibri" w:hAnsi="Calibri" w:cs="Calibri"/>
              <w:b/>
              <w:bCs/>
              <w:sz w:val="16"/>
            </w:rPr>
            <w:t>3</w:t>
          </w:r>
          <w:r w:rsidRPr="00932D17">
            <w:rPr>
              <w:rFonts w:ascii="Calibri" w:hAnsi="Calibri" w:cs="Calibri"/>
              <w:sz w:val="16"/>
            </w:rPr>
            <w:t xml:space="preserve"> 61–83</w:t>
          </w:r>
        </w:p>
        <w:p w14:paraId="70BDE9D3" w14:textId="77777777" w:rsidR="00932D17" w:rsidRPr="00932D17" w:rsidRDefault="00932D17">
          <w:pPr>
            <w:pStyle w:val="Bibliografia2"/>
            <w:rPr>
              <w:rFonts w:ascii="Calibri" w:hAnsi="Calibri" w:cs="Calibri"/>
              <w:sz w:val="16"/>
            </w:rPr>
          </w:pPr>
          <w:r w:rsidRPr="00932D17">
            <w:rPr>
              <w:rFonts w:ascii="Calibri" w:hAnsi="Calibri" w:cs="Calibri"/>
              <w:sz w:val="16"/>
            </w:rPr>
            <w:t xml:space="preserve">[2] </w:t>
          </w:r>
          <w:proofErr w:type="spellStart"/>
          <w:r w:rsidRPr="00932D17">
            <w:rPr>
              <w:rFonts w:ascii="Calibri" w:hAnsi="Calibri" w:cs="Calibri"/>
              <w:sz w:val="16"/>
            </w:rPr>
            <w:t>McDonnell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E M and Deck L </w:t>
          </w:r>
          <w:proofErr w:type="spellStart"/>
          <w:r w:rsidRPr="00932D17">
            <w:rPr>
              <w:rFonts w:ascii="Calibri" w:hAnsi="Calibri" w:cs="Calibri"/>
              <w:sz w:val="16"/>
            </w:rPr>
            <w:t>L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2020 Solutions for </w:t>
          </w:r>
          <w:proofErr w:type="spellStart"/>
          <w:r w:rsidRPr="00932D17">
            <w:rPr>
              <w:rFonts w:ascii="Calibri" w:hAnsi="Calibri" w:cs="Calibri"/>
              <w:sz w:val="16"/>
            </w:rPr>
            <w:t>environmentally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</w:t>
          </w:r>
          <w:proofErr w:type="spellStart"/>
          <w:r w:rsidRPr="00932D17">
            <w:rPr>
              <w:rFonts w:ascii="Calibri" w:hAnsi="Calibri" w:cs="Calibri"/>
              <w:sz w:val="16"/>
            </w:rPr>
            <w:t>robust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</w:t>
          </w:r>
          <w:proofErr w:type="spellStart"/>
          <w:r w:rsidRPr="00932D17">
            <w:rPr>
              <w:rFonts w:ascii="Calibri" w:hAnsi="Calibri" w:cs="Calibri"/>
              <w:sz w:val="16"/>
            </w:rPr>
            <w:t>interferometric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</w:t>
          </w:r>
          <w:proofErr w:type="spellStart"/>
          <w:r w:rsidRPr="00932D17">
            <w:rPr>
              <w:rFonts w:ascii="Calibri" w:hAnsi="Calibri" w:cs="Calibri"/>
              <w:sz w:val="16"/>
            </w:rPr>
            <w:t>optical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</w:t>
          </w:r>
          <w:proofErr w:type="spellStart"/>
          <w:r w:rsidRPr="00932D17">
            <w:rPr>
              <w:rFonts w:ascii="Calibri" w:hAnsi="Calibri" w:cs="Calibri"/>
              <w:sz w:val="16"/>
            </w:rPr>
            <w:t>testing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</w:t>
          </w:r>
          <w:proofErr w:type="spellStart"/>
          <w:r w:rsidRPr="00932D17">
            <w:rPr>
              <w:rFonts w:ascii="Calibri" w:hAnsi="Calibri" w:cs="Calibri"/>
              <w:i/>
              <w:iCs/>
              <w:sz w:val="16"/>
            </w:rPr>
            <w:t>Proceedings</w:t>
          </w:r>
          <w:proofErr w:type="spellEnd"/>
          <w:r w:rsidRPr="00932D17">
            <w:rPr>
              <w:rFonts w:ascii="Calibri" w:hAnsi="Calibri" w:cs="Calibri"/>
              <w:i/>
              <w:iCs/>
              <w:sz w:val="16"/>
            </w:rPr>
            <w:t xml:space="preserve"> of SPIE - The International </w:t>
          </w:r>
          <w:proofErr w:type="spellStart"/>
          <w:r w:rsidRPr="00932D17">
            <w:rPr>
              <w:rFonts w:ascii="Calibri" w:hAnsi="Calibri" w:cs="Calibri"/>
              <w:i/>
              <w:iCs/>
              <w:sz w:val="16"/>
            </w:rPr>
            <w:t>Society</w:t>
          </w:r>
          <w:proofErr w:type="spellEnd"/>
          <w:r w:rsidRPr="00932D17">
            <w:rPr>
              <w:rFonts w:ascii="Calibri" w:hAnsi="Calibri" w:cs="Calibri"/>
              <w:i/>
              <w:iCs/>
              <w:sz w:val="16"/>
            </w:rPr>
            <w:t xml:space="preserve"> for Optical Engineering</w:t>
          </w:r>
          <w:r w:rsidRPr="00932D17">
            <w:rPr>
              <w:rFonts w:ascii="Calibri" w:hAnsi="Calibri" w:cs="Calibri"/>
              <w:sz w:val="16"/>
            </w:rPr>
            <w:t xml:space="preserve"> </w:t>
          </w:r>
          <w:r w:rsidRPr="00932D17">
            <w:rPr>
              <w:rFonts w:ascii="Calibri" w:hAnsi="Calibri" w:cs="Calibri"/>
              <w:b/>
              <w:bCs/>
              <w:sz w:val="16"/>
            </w:rPr>
            <w:t>11487</w:t>
          </w:r>
        </w:p>
        <w:p w14:paraId="40C0491A" w14:textId="77777777" w:rsidR="00932D17" w:rsidRPr="00932D17" w:rsidRDefault="00932D17">
          <w:pPr>
            <w:pStyle w:val="Bibliografia2"/>
            <w:rPr>
              <w:rFonts w:ascii="Calibri" w:hAnsi="Calibri" w:cs="Calibri"/>
              <w:sz w:val="16"/>
            </w:rPr>
          </w:pPr>
          <w:r w:rsidRPr="00932D17">
            <w:rPr>
              <w:rFonts w:ascii="Calibri" w:hAnsi="Calibri" w:cs="Calibri"/>
              <w:sz w:val="16"/>
            </w:rPr>
            <w:t xml:space="preserve">[3] </w:t>
          </w:r>
          <w:proofErr w:type="spellStart"/>
          <w:r w:rsidRPr="00932D17">
            <w:rPr>
              <w:rFonts w:ascii="Calibri" w:hAnsi="Calibri" w:cs="Calibri"/>
              <w:sz w:val="16"/>
            </w:rPr>
            <w:t>Okamoto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R and </w:t>
          </w:r>
          <w:proofErr w:type="spellStart"/>
          <w:r w:rsidRPr="00932D17">
            <w:rPr>
              <w:rFonts w:ascii="Calibri" w:hAnsi="Calibri" w:cs="Calibri"/>
              <w:sz w:val="16"/>
            </w:rPr>
            <w:t>Tahara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T 2021 Precision limit for </w:t>
          </w:r>
          <w:proofErr w:type="spellStart"/>
          <w:r w:rsidRPr="00932D17">
            <w:rPr>
              <w:rFonts w:ascii="Calibri" w:hAnsi="Calibri" w:cs="Calibri"/>
              <w:sz w:val="16"/>
            </w:rPr>
            <w:t>simultaneous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</w:t>
          </w:r>
          <w:proofErr w:type="spellStart"/>
          <w:r w:rsidRPr="00932D17">
            <w:rPr>
              <w:rFonts w:ascii="Calibri" w:hAnsi="Calibri" w:cs="Calibri"/>
              <w:sz w:val="16"/>
            </w:rPr>
            <w:t>phase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and </w:t>
          </w:r>
          <w:proofErr w:type="spellStart"/>
          <w:r w:rsidRPr="00932D17">
            <w:rPr>
              <w:rFonts w:ascii="Calibri" w:hAnsi="Calibri" w:cs="Calibri"/>
              <w:sz w:val="16"/>
            </w:rPr>
            <w:t>transmittance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</w:t>
          </w:r>
          <w:proofErr w:type="spellStart"/>
          <w:r w:rsidRPr="00932D17">
            <w:rPr>
              <w:rFonts w:ascii="Calibri" w:hAnsi="Calibri" w:cs="Calibri"/>
              <w:sz w:val="16"/>
            </w:rPr>
            <w:t>estimation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with </w:t>
          </w:r>
          <w:proofErr w:type="spellStart"/>
          <w:r w:rsidRPr="00932D17">
            <w:rPr>
              <w:rFonts w:ascii="Calibri" w:hAnsi="Calibri" w:cs="Calibri"/>
              <w:sz w:val="16"/>
            </w:rPr>
            <w:t>phase-shifting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interferometry </w:t>
          </w:r>
          <w:proofErr w:type="spellStart"/>
          <w:r w:rsidRPr="00932D17">
            <w:rPr>
              <w:rFonts w:ascii="Calibri" w:hAnsi="Calibri" w:cs="Calibri"/>
              <w:i/>
              <w:iCs/>
              <w:sz w:val="16"/>
            </w:rPr>
            <w:t>Physical</w:t>
          </w:r>
          <w:proofErr w:type="spellEnd"/>
          <w:r w:rsidRPr="00932D17">
            <w:rPr>
              <w:rFonts w:ascii="Calibri" w:hAnsi="Calibri" w:cs="Calibri"/>
              <w:i/>
              <w:iCs/>
              <w:sz w:val="16"/>
            </w:rPr>
            <w:t xml:space="preserve"> </w:t>
          </w:r>
          <w:proofErr w:type="spellStart"/>
          <w:r w:rsidRPr="00932D17">
            <w:rPr>
              <w:rFonts w:ascii="Calibri" w:hAnsi="Calibri" w:cs="Calibri"/>
              <w:i/>
              <w:iCs/>
              <w:sz w:val="16"/>
            </w:rPr>
            <w:t>Review</w:t>
          </w:r>
          <w:proofErr w:type="spellEnd"/>
          <w:r w:rsidRPr="00932D17">
            <w:rPr>
              <w:rFonts w:ascii="Calibri" w:hAnsi="Calibri" w:cs="Calibri"/>
              <w:i/>
              <w:iCs/>
              <w:sz w:val="16"/>
            </w:rPr>
            <w:t xml:space="preserve"> A</w:t>
          </w:r>
          <w:r w:rsidRPr="00932D17">
            <w:rPr>
              <w:rFonts w:ascii="Calibri" w:hAnsi="Calibri" w:cs="Calibri"/>
              <w:sz w:val="16"/>
            </w:rPr>
            <w:t xml:space="preserve"> </w:t>
          </w:r>
          <w:r w:rsidRPr="00932D17">
            <w:rPr>
              <w:rFonts w:ascii="Calibri" w:hAnsi="Calibri" w:cs="Calibri"/>
              <w:b/>
              <w:bCs/>
              <w:sz w:val="16"/>
            </w:rPr>
            <w:t>104</w:t>
          </w:r>
        </w:p>
        <w:p w14:paraId="2BC13141" w14:textId="77777777" w:rsidR="00932D17" w:rsidRPr="00932D17" w:rsidRDefault="00932D17">
          <w:pPr>
            <w:pStyle w:val="Bibliografia2"/>
            <w:rPr>
              <w:rFonts w:ascii="Calibri" w:hAnsi="Calibri" w:cs="Calibri"/>
              <w:sz w:val="16"/>
            </w:rPr>
          </w:pPr>
          <w:r w:rsidRPr="00932D17">
            <w:rPr>
              <w:rFonts w:ascii="Calibri" w:hAnsi="Calibri" w:cs="Calibri"/>
              <w:sz w:val="16"/>
            </w:rPr>
            <w:t>[4] Richards R K 2004 Quantum-</w:t>
          </w:r>
          <w:proofErr w:type="spellStart"/>
          <w:r w:rsidRPr="00932D17">
            <w:rPr>
              <w:rFonts w:ascii="Calibri" w:hAnsi="Calibri" w:cs="Calibri"/>
              <w:sz w:val="16"/>
            </w:rPr>
            <w:t>entangled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</w:t>
          </w:r>
          <w:proofErr w:type="spellStart"/>
          <w:r w:rsidRPr="00932D17">
            <w:rPr>
              <w:rFonts w:ascii="Calibri" w:hAnsi="Calibri" w:cs="Calibri"/>
              <w:sz w:val="16"/>
            </w:rPr>
            <w:t>photon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interferometry </w:t>
          </w:r>
          <w:proofErr w:type="spellStart"/>
          <w:r w:rsidRPr="00932D17">
            <w:rPr>
              <w:rFonts w:ascii="Calibri" w:hAnsi="Calibri" w:cs="Calibri"/>
              <w:i/>
              <w:iCs/>
              <w:sz w:val="16"/>
            </w:rPr>
            <w:t>Interf</w:t>
          </w:r>
          <w:proofErr w:type="spellEnd"/>
          <w:r w:rsidRPr="00932D17">
            <w:rPr>
              <w:rFonts w:ascii="Calibri" w:hAnsi="Calibri" w:cs="Calibri"/>
              <w:i/>
              <w:iCs/>
              <w:sz w:val="16"/>
            </w:rPr>
            <w:t xml:space="preserve">. XII: Tech. </w:t>
          </w:r>
          <w:proofErr w:type="spellStart"/>
          <w:r w:rsidRPr="00932D17">
            <w:rPr>
              <w:rFonts w:ascii="Calibri" w:hAnsi="Calibri" w:cs="Calibri"/>
              <w:i/>
              <w:iCs/>
              <w:sz w:val="16"/>
            </w:rPr>
            <w:t>Anal</w:t>
          </w:r>
          <w:proofErr w:type="spellEnd"/>
          <w:r w:rsidRPr="00932D17">
            <w:rPr>
              <w:rFonts w:ascii="Calibri" w:hAnsi="Calibri" w:cs="Calibri"/>
              <w:i/>
              <w:iCs/>
              <w:sz w:val="16"/>
            </w:rPr>
            <w:t>.</w:t>
          </w:r>
          <w:r w:rsidRPr="00932D17">
            <w:rPr>
              <w:rFonts w:ascii="Calibri" w:hAnsi="Calibri" w:cs="Calibri"/>
              <w:sz w:val="16"/>
            </w:rPr>
            <w:t xml:space="preserve"> </w:t>
          </w:r>
          <w:r w:rsidRPr="00932D17">
            <w:rPr>
              <w:rFonts w:ascii="Calibri" w:hAnsi="Calibri" w:cs="Calibri"/>
              <w:b/>
              <w:bCs/>
              <w:sz w:val="16"/>
            </w:rPr>
            <w:t>5531</w:t>
          </w:r>
          <w:r w:rsidRPr="00932D17">
            <w:rPr>
              <w:rFonts w:ascii="Calibri" w:hAnsi="Calibri" w:cs="Calibri"/>
              <w:sz w:val="16"/>
            </w:rPr>
            <w:t xml:space="preserve"> 17–23</w:t>
          </w:r>
        </w:p>
        <w:p w14:paraId="388CDDDF" w14:textId="03E350BC" w:rsidR="002D1CFA" w:rsidRPr="000569F3" w:rsidRDefault="00932D17" w:rsidP="000569F3">
          <w:pPr>
            <w:pStyle w:val="Bibliografia2"/>
            <w:rPr>
              <w:rFonts w:ascii="Calibri" w:hAnsi="Calibri" w:cs="Calibri"/>
              <w:sz w:val="16"/>
            </w:rPr>
          </w:pPr>
          <w:r w:rsidRPr="00932D17">
            <w:rPr>
              <w:rFonts w:ascii="Calibri" w:hAnsi="Calibri" w:cs="Calibri"/>
              <w:sz w:val="16"/>
            </w:rPr>
            <w:t xml:space="preserve">[5] </w:t>
          </w:r>
          <w:proofErr w:type="spellStart"/>
          <w:r w:rsidRPr="00932D17">
            <w:rPr>
              <w:rFonts w:ascii="Calibri" w:hAnsi="Calibri" w:cs="Calibri"/>
              <w:sz w:val="16"/>
            </w:rPr>
            <w:t>Rarity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J G, Burnett J, </w:t>
          </w:r>
          <w:proofErr w:type="spellStart"/>
          <w:r w:rsidRPr="00932D17">
            <w:rPr>
              <w:rFonts w:ascii="Calibri" w:hAnsi="Calibri" w:cs="Calibri"/>
              <w:sz w:val="16"/>
            </w:rPr>
            <w:t>Tapster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P R and </w:t>
          </w:r>
          <w:proofErr w:type="spellStart"/>
          <w:r w:rsidRPr="00932D17">
            <w:rPr>
              <w:rFonts w:ascii="Calibri" w:hAnsi="Calibri" w:cs="Calibri"/>
              <w:sz w:val="16"/>
            </w:rPr>
            <w:t>Paschotta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R 1993 High-</w:t>
          </w:r>
          <w:proofErr w:type="spellStart"/>
          <w:r w:rsidRPr="00932D17">
            <w:rPr>
              <w:rFonts w:ascii="Calibri" w:hAnsi="Calibri" w:cs="Calibri"/>
              <w:sz w:val="16"/>
            </w:rPr>
            <w:t>visibility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</w:t>
          </w:r>
          <w:proofErr w:type="spellStart"/>
          <w:r w:rsidRPr="00932D17">
            <w:rPr>
              <w:rFonts w:ascii="Calibri" w:hAnsi="Calibri" w:cs="Calibri"/>
              <w:sz w:val="16"/>
            </w:rPr>
            <w:t>two-photon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</w:t>
          </w:r>
          <w:proofErr w:type="spellStart"/>
          <w:r w:rsidRPr="00932D17">
            <w:rPr>
              <w:rFonts w:ascii="Calibri" w:hAnsi="Calibri" w:cs="Calibri"/>
              <w:sz w:val="16"/>
            </w:rPr>
            <w:t>interference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in a single-</w:t>
          </w:r>
          <w:proofErr w:type="spellStart"/>
          <w:r w:rsidRPr="00932D17">
            <w:rPr>
              <w:rFonts w:ascii="Calibri" w:hAnsi="Calibri" w:cs="Calibri"/>
              <w:sz w:val="16"/>
            </w:rPr>
            <w:t>mode</w:t>
          </w:r>
          <w:proofErr w:type="spellEnd"/>
          <w:r w:rsidRPr="00932D17">
            <w:rPr>
              <w:rFonts w:ascii="Calibri" w:hAnsi="Calibri" w:cs="Calibri"/>
              <w:sz w:val="16"/>
            </w:rPr>
            <w:t>-</w:t>
          </w:r>
          <w:proofErr w:type="spellStart"/>
          <w:r w:rsidRPr="00932D17">
            <w:rPr>
              <w:rFonts w:ascii="Calibri" w:hAnsi="Calibri" w:cs="Calibri"/>
              <w:sz w:val="16"/>
            </w:rPr>
            <w:t>fibre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</w:t>
          </w:r>
          <w:proofErr w:type="spellStart"/>
          <w:r w:rsidRPr="00932D17">
            <w:rPr>
              <w:rFonts w:ascii="Calibri" w:hAnsi="Calibri" w:cs="Calibri"/>
              <w:sz w:val="16"/>
            </w:rPr>
            <w:t>interferometer</w:t>
          </w:r>
          <w:proofErr w:type="spellEnd"/>
          <w:r w:rsidRPr="00932D17">
            <w:rPr>
              <w:rFonts w:ascii="Calibri" w:hAnsi="Calibri" w:cs="Calibri"/>
              <w:sz w:val="16"/>
            </w:rPr>
            <w:t xml:space="preserve"> </w:t>
          </w:r>
          <w:r w:rsidRPr="00932D17">
            <w:rPr>
              <w:rFonts w:ascii="Calibri" w:hAnsi="Calibri" w:cs="Calibri"/>
              <w:i/>
              <w:iCs/>
              <w:sz w:val="16"/>
            </w:rPr>
            <w:t>EPL</w:t>
          </w:r>
          <w:r w:rsidRPr="00932D17">
            <w:rPr>
              <w:rFonts w:ascii="Calibri" w:hAnsi="Calibri" w:cs="Calibri"/>
              <w:sz w:val="16"/>
            </w:rPr>
            <w:t xml:space="preserve"> </w:t>
          </w:r>
          <w:r w:rsidRPr="00932D17">
            <w:rPr>
              <w:rFonts w:ascii="Calibri" w:hAnsi="Calibri" w:cs="Calibri"/>
              <w:b/>
              <w:bCs/>
              <w:sz w:val="16"/>
            </w:rPr>
            <w:t>22</w:t>
          </w:r>
          <w:r w:rsidRPr="00932D17">
            <w:rPr>
              <w:rFonts w:ascii="Calibri" w:hAnsi="Calibri" w:cs="Calibri"/>
              <w:sz w:val="16"/>
            </w:rPr>
            <w:t xml:space="preserve"> 95–100</w:t>
          </w:r>
        </w:p>
      </w:sdtContent>
    </w:sdt>
    <w:sectPr w:rsidR="002D1CFA" w:rsidRPr="000569F3" w:rsidSect="008C2DC8">
      <w:type w:val="continuous"/>
      <w:pgSz w:w="11906" w:h="16838" w:code="9"/>
      <w:pgMar w:top="1314" w:right="1134" w:bottom="992" w:left="1134" w:header="503" w:footer="709" w:gutter="0"/>
      <w:cols w:space="312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6C2AC" w14:textId="77777777" w:rsidR="00037AC4" w:rsidRDefault="00037AC4" w:rsidP="00B972D1">
      <w:r>
        <w:separator/>
      </w:r>
    </w:p>
  </w:endnote>
  <w:endnote w:type="continuationSeparator" w:id="0">
    <w:p w14:paraId="51E96735" w14:textId="77777777" w:rsidR="00037AC4" w:rsidRDefault="00037AC4" w:rsidP="00B97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779C5" w14:textId="77777777" w:rsidR="00037AC4" w:rsidRDefault="00037AC4" w:rsidP="00B972D1">
      <w:r>
        <w:separator/>
      </w:r>
    </w:p>
  </w:footnote>
  <w:footnote w:type="continuationSeparator" w:id="0">
    <w:p w14:paraId="301BC85A" w14:textId="77777777" w:rsidR="00037AC4" w:rsidRDefault="00037AC4" w:rsidP="00B97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33255" w14:textId="77777777" w:rsidR="00BF3095" w:rsidRDefault="00BF3095" w:rsidP="00BF3095">
    <w:r w:rsidRPr="00BC3F51">
      <w:rPr>
        <w:noProof/>
      </w:rPr>
      <w:drawing>
        <wp:anchor distT="0" distB="0" distL="114300" distR="114300" simplePos="0" relativeHeight="251674624" behindDoc="1" locked="0" layoutInCell="1" allowOverlap="1" wp14:anchorId="420CAF05" wp14:editId="7BA318B9">
          <wp:simplePos x="0" y="0"/>
          <wp:positionH relativeFrom="column">
            <wp:posOffset>1427</wp:posOffset>
          </wp:positionH>
          <wp:positionV relativeFrom="paragraph">
            <wp:posOffset>113846</wp:posOffset>
          </wp:positionV>
          <wp:extent cx="3671208" cy="723600"/>
          <wp:effectExtent l="0" t="0" r="0" b="635"/>
          <wp:wrapNone/>
          <wp:docPr id="1489394811" name="Obraz 1" descr="Obraz zawierający tekst, Czcionka, paragon, biały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9394811" name="Obraz 1" descr="Obraz zawierający tekst, Czcionka, paragon, biały&#10;&#10;Zawartość wygenerowana przez AI może być niepoprawna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71208" cy="72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A79C4">
      <w:rPr>
        <w:noProof/>
        <w:lang w:val="pl-PL" w:eastAsia="pl-PL"/>
      </w:rPr>
      <w:drawing>
        <wp:anchor distT="0" distB="0" distL="114300" distR="114300" simplePos="0" relativeHeight="251673600" behindDoc="1" locked="0" layoutInCell="1" allowOverlap="1" wp14:anchorId="3AF85D1B" wp14:editId="65189DDD">
          <wp:simplePos x="0" y="0"/>
          <wp:positionH relativeFrom="column">
            <wp:posOffset>4023995</wp:posOffset>
          </wp:positionH>
          <wp:positionV relativeFrom="paragraph">
            <wp:posOffset>127544</wp:posOffset>
          </wp:positionV>
          <wp:extent cx="2162175" cy="711200"/>
          <wp:effectExtent l="0" t="0" r="0" b="0"/>
          <wp:wrapNone/>
          <wp:docPr id="165697475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5370749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923"/>
                  <a:stretch>
                    <a:fillRect/>
                  </a:stretch>
                </pic:blipFill>
                <pic:spPr bwMode="auto">
                  <a:xfrm>
                    <a:off x="0" y="0"/>
                    <a:ext cx="2162175" cy="711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C3F51">
      <w:rPr>
        <w:noProof/>
      </w:rPr>
      <w:t xml:space="preserve"> </w:t>
    </w:r>
    <w:r w:rsidRPr="00C944F1">
      <w:t xml:space="preserve"> </w:t>
    </w:r>
    <w:r>
      <w:rPr>
        <w:noProof/>
        <w:lang w:val="pl-PL" w:eastAsia="pl-PL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C6D04F1" wp14:editId="7D6393B3">
              <wp:simplePos x="0" y="0"/>
              <wp:positionH relativeFrom="column">
                <wp:posOffset>2924</wp:posOffset>
              </wp:positionH>
              <wp:positionV relativeFrom="paragraph">
                <wp:posOffset>60148</wp:posOffset>
              </wp:positionV>
              <wp:extent cx="6124191" cy="0"/>
              <wp:effectExtent l="0" t="0" r="10160" b="19050"/>
              <wp:wrapNone/>
              <wp:docPr id="989936589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4191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909716" id="Straight Connector 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4.75pt" to="482.45pt,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"/>
          </w:pict>
        </mc:Fallback>
      </mc:AlternateContent>
    </w:r>
    <w:r>
      <w:rPr>
        <w:noProof/>
        <w:lang w:val="pl-PL" w:eastAsia="pl-PL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026277F" wp14:editId="02C61B84">
              <wp:simplePos x="0" y="0"/>
              <wp:positionH relativeFrom="column">
                <wp:posOffset>-742950</wp:posOffset>
              </wp:positionH>
              <wp:positionV relativeFrom="paragraph">
                <wp:posOffset>114300</wp:posOffset>
              </wp:positionV>
              <wp:extent cx="0" cy="0"/>
              <wp:effectExtent l="9525" t="6350" r="9525" b="12700"/>
              <wp:wrapNone/>
              <wp:docPr id="204752664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BD20CC" id="Straight Connector 1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5pt,9pt" to="-58.5pt,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"/>
          </w:pict>
        </mc:Fallback>
      </mc:AlternateContent>
    </w:r>
    <w:r>
      <w:tab/>
    </w:r>
  </w:p>
  <w:p w14:paraId="231EA0F3" w14:textId="77777777" w:rsidR="00BF3095" w:rsidRDefault="00BF3095" w:rsidP="00BF3095">
    <w:pPr>
      <w:pStyle w:val="Nagwek"/>
      <w:tabs>
        <w:tab w:val="clear" w:pos="4513"/>
        <w:tab w:val="clear" w:pos="9026"/>
        <w:tab w:val="left" w:pos="6034"/>
      </w:tabs>
    </w:pPr>
    <w:r>
      <w:tab/>
    </w:r>
  </w:p>
  <w:p w14:paraId="69115B59" w14:textId="77777777" w:rsidR="00BF3095" w:rsidRDefault="00BF3095" w:rsidP="00BF3095">
    <w:pPr>
      <w:pStyle w:val="Nagwek"/>
      <w:tabs>
        <w:tab w:val="clear" w:pos="4513"/>
        <w:tab w:val="clear" w:pos="9026"/>
        <w:tab w:val="left" w:pos="6034"/>
      </w:tabs>
    </w:pPr>
  </w:p>
  <w:p w14:paraId="59EA53B3" w14:textId="77777777" w:rsidR="00BF3095" w:rsidRDefault="00BF3095" w:rsidP="00BF3095">
    <w:pPr>
      <w:pStyle w:val="Nagwek"/>
      <w:tabs>
        <w:tab w:val="clear" w:pos="4513"/>
        <w:tab w:val="clear" w:pos="9026"/>
        <w:tab w:val="left" w:pos="6034"/>
      </w:tabs>
    </w:pPr>
  </w:p>
  <w:p w14:paraId="0D99E939" w14:textId="77777777" w:rsidR="00BF3095" w:rsidRDefault="00BF3095" w:rsidP="00BF3095">
    <w:pPr>
      <w:pStyle w:val="Nagwek"/>
      <w:tabs>
        <w:tab w:val="clear" w:pos="4513"/>
        <w:tab w:val="clear" w:pos="9026"/>
        <w:tab w:val="left" w:pos="6034"/>
      </w:tabs>
    </w:pPr>
    <w:r>
      <w:rPr>
        <w:noProof/>
        <w:lang w:val="pl-PL" w:eastAsia="pl-PL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51A4B7B" wp14:editId="5CCE6DD3">
              <wp:simplePos x="0" y="0"/>
              <wp:positionH relativeFrom="column">
                <wp:posOffset>1996</wp:posOffset>
              </wp:positionH>
              <wp:positionV relativeFrom="paragraph">
                <wp:posOffset>140697</wp:posOffset>
              </wp:positionV>
              <wp:extent cx="6123305" cy="0"/>
              <wp:effectExtent l="0" t="19050" r="10795" b="19050"/>
              <wp:wrapNone/>
              <wp:docPr id="1448217280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330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CDB604" id="Straight Connector 1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11.1pt" to="482.3pt,1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" strokeweight="3pt"/>
          </w:pict>
        </mc:Fallback>
      </mc:AlternateContent>
    </w:r>
  </w:p>
  <w:p w14:paraId="745A856A" w14:textId="403A0088" w:rsidR="002D1CFA" w:rsidRPr="00BF3095" w:rsidRDefault="002D1CFA" w:rsidP="00BF3095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1FCDE" w14:textId="034BDBE6" w:rsidR="002D1CFA" w:rsidRDefault="00BC3F51" w:rsidP="00C944F1">
    <w:r w:rsidRPr="00BC3F51">
      <w:rPr>
        <w:noProof/>
      </w:rPr>
      <w:drawing>
        <wp:anchor distT="0" distB="0" distL="114300" distR="114300" simplePos="0" relativeHeight="251668480" behindDoc="1" locked="0" layoutInCell="1" allowOverlap="1" wp14:anchorId="21F43B2E" wp14:editId="6019EB85">
          <wp:simplePos x="0" y="0"/>
          <wp:positionH relativeFrom="column">
            <wp:posOffset>1427</wp:posOffset>
          </wp:positionH>
          <wp:positionV relativeFrom="paragraph">
            <wp:posOffset>113846</wp:posOffset>
          </wp:positionV>
          <wp:extent cx="3671208" cy="723600"/>
          <wp:effectExtent l="0" t="0" r="0" b="635"/>
          <wp:wrapNone/>
          <wp:docPr id="198649632" name="Obraz 1" descr="Obraz zawierający tekst, Czcionka, paragon, biały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9394811" name="Obraz 1" descr="Obraz zawierający tekst, Czcionka, paragon, biały&#10;&#10;Zawartość wygenerowana przez AI może być niepoprawna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71208" cy="72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944F1" w:rsidRPr="00EA79C4">
      <w:rPr>
        <w:noProof/>
        <w:lang w:val="pl-PL" w:eastAsia="pl-PL"/>
      </w:rPr>
      <w:drawing>
        <wp:anchor distT="0" distB="0" distL="114300" distR="114300" simplePos="0" relativeHeight="251667456" behindDoc="1" locked="0" layoutInCell="1" allowOverlap="1" wp14:anchorId="7CEA1839" wp14:editId="1132EC52">
          <wp:simplePos x="0" y="0"/>
          <wp:positionH relativeFrom="column">
            <wp:posOffset>4023995</wp:posOffset>
          </wp:positionH>
          <wp:positionV relativeFrom="paragraph">
            <wp:posOffset>127544</wp:posOffset>
          </wp:positionV>
          <wp:extent cx="2162175" cy="711200"/>
          <wp:effectExtent l="0" t="0" r="0" b="0"/>
          <wp:wrapNone/>
          <wp:docPr id="928983259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5370749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923"/>
                  <a:stretch>
                    <a:fillRect/>
                  </a:stretch>
                </pic:blipFill>
                <pic:spPr bwMode="auto">
                  <a:xfrm>
                    <a:off x="0" y="0"/>
                    <a:ext cx="2162175" cy="711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C3F51">
      <w:rPr>
        <w:noProof/>
      </w:rPr>
      <w:t xml:space="preserve"> </w:t>
    </w:r>
    <w:r w:rsidR="00C944F1" w:rsidRPr="00C944F1">
      <w:t xml:space="preserve"> </w:t>
    </w:r>
    <w:r w:rsidR="002D1CFA">
      <w:rPr>
        <w:noProof/>
        <w:lang w:val="pl-PL" w:eastAsia="pl-P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D9EB945" wp14:editId="4D36920A">
              <wp:simplePos x="0" y="0"/>
              <wp:positionH relativeFrom="column">
                <wp:posOffset>2924</wp:posOffset>
              </wp:positionH>
              <wp:positionV relativeFrom="paragraph">
                <wp:posOffset>60148</wp:posOffset>
              </wp:positionV>
              <wp:extent cx="6124191" cy="0"/>
              <wp:effectExtent l="0" t="0" r="10160" b="1905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4191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36CDC6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4.75pt" to="482.4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"/>
          </w:pict>
        </mc:Fallback>
      </mc:AlternateContent>
    </w:r>
    <w:r w:rsidR="002D1CFA">
      <w:rPr>
        <w:noProof/>
        <w:lang w:val="pl-PL" w:eastAsia="pl-P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CA7008F" wp14:editId="2C4C6B86">
              <wp:simplePos x="0" y="0"/>
              <wp:positionH relativeFrom="column">
                <wp:posOffset>-742950</wp:posOffset>
              </wp:positionH>
              <wp:positionV relativeFrom="paragraph">
                <wp:posOffset>114300</wp:posOffset>
              </wp:positionV>
              <wp:extent cx="0" cy="0"/>
              <wp:effectExtent l="9525" t="6350" r="9525" b="12700"/>
              <wp:wrapNone/>
              <wp:docPr id="1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E9C657" id="Straight Connector 1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5pt,9pt" to="-58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"/>
          </w:pict>
        </mc:Fallback>
      </mc:AlternateContent>
    </w:r>
    <w:r w:rsidR="002D1CFA">
      <w:tab/>
    </w:r>
  </w:p>
  <w:p w14:paraId="18AEA445" w14:textId="6276D164" w:rsidR="002D1CFA" w:rsidRDefault="00BC3F51" w:rsidP="00BC3F51">
    <w:pPr>
      <w:pStyle w:val="Nagwek"/>
      <w:tabs>
        <w:tab w:val="clear" w:pos="4513"/>
        <w:tab w:val="clear" w:pos="9026"/>
        <w:tab w:val="left" w:pos="6034"/>
      </w:tabs>
    </w:pPr>
    <w:r>
      <w:tab/>
    </w:r>
  </w:p>
  <w:p w14:paraId="18FA25A1" w14:textId="2B44D4BB" w:rsidR="00BC3F51" w:rsidRDefault="00BC3F51" w:rsidP="00BC3F51">
    <w:pPr>
      <w:pStyle w:val="Nagwek"/>
      <w:tabs>
        <w:tab w:val="clear" w:pos="4513"/>
        <w:tab w:val="clear" w:pos="9026"/>
        <w:tab w:val="left" w:pos="6034"/>
      </w:tabs>
    </w:pPr>
  </w:p>
  <w:p w14:paraId="52B0D402" w14:textId="77777777" w:rsidR="00BC3F51" w:rsidRDefault="00BC3F51" w:rsidP="00BC3F51">
    <w:pPr>
      <w:pStyle w:val="Nagwek"/>
      <w:tabs>
        <w:tab w:val="clear" w:pos="4513"/>
        <w:tab w:val="clear" w:pos="9026"/>
        <w:tab w:val="left" w:pos="6034"/>
      </w:tabs>
    </w:pPr>
  </w:p>
  <w:p w14:paraId="06BCDBCD" w14:textId="02DC3E15" w:rsidR="00BC3F51" w:rsidRDefault="00BC3F51" w:rsidP="00BC3F51">
    <w:pPr>
      <w:pStyle w:val="Nagwek"/>
      <w:tabs>
        <w:tab w:val="clear" w:pos="4513"/>
        <w:tab w:val="clear" w:pos="9026"/>
        <w:tab w:val="left" w:pos="6034"/>
      </w:tabs>
    </w:pPr>
    <w:r>
      <w:rPr>
        <w:noProof/>
        <w:lang w:val="pl-PL" w:eastAsia="pl-P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7E9FD25" wp14:editId="14C9328A">
              <wp:simplePos x="0" y="0"/>
              <wp:positionH relativeFrom="column">
                <wp:posOffset>1996</wp:posOffset>
              </wp:positionH>
              <wp:positionV relativeFrom="paragraph">
                <wp:posOffset>140697</wp:posOffset>
              </wp:positionV>
              <wp:extent cx="6123305" cy="0"/>
              <wp:effectExtent l="0" t="19050" r="10795" b="1905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330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7C824C" id="Straight Connector 1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11.1pt" to="482.3pt,1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" strokeweight="3pt"/>
          </w:pict>
        </mc:Fallback>
      </mc:AlternateContent>
    </w:r>
  </w:p>
  <w:p w14:paraId="09BBC359" w14:textId="5A0B6987" w:rsidR="00BC3F51" w:rsidRDefault="00BC3F51" w:rsidP="00BC3F51">
    <w:pPr>
      <w:pStyle w:val="Nagwek"/>
      <w:tabs>
        <w:tab w:val="clear" w:pos="4513"/>
        <w:tab w:val="clear" w:pos="9026"/>
        <w:tab w:val="left" w:pos="6034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3"/>
  <w:hideSpellingErrors/>
  <w:hideGrammaticalErrors/>
  <w:proofState w:spelling="clean" w:grammar="clean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2D1"/>
    <w:rsid w:val="00000D4C"/>
    <w:rsid w:val="00014017"/>
    <w:rsid w:val="00025BA9"/>
    <w:rsid w:val="00031E12"/>
    <w:rsid w:val="00037AC4"/>
    <w:rsid w:val="000528C4"/>
    <w:rsid w:val="00052935"/>
    <w:rsid w:val="00054E10"/>
    <w:rsid w:val="000569F3"/>
    <w:rsid w:val="000630B8"/>
    <w:rsid w:val="00082AB7"/>
    <w:rsid w:val="00095F3E"/>
    <w:rsid w:val="000D1356"/>
    <w:rsid w:val="00116A43"/>
    <w:rsid w:val="0012271A"/>
    <w:rsid w:val="001242EA"/>
    <w:rsid w:val="001337D5"/>
    <w:rsid w:val="00152E46"/>
    <w:rsid w:val="0017270A"/>
    <w:rsid w:val="00174016"/>
    <w:rsid w:val="001D0D2B"/>
    <w:rsid w:val="001F0062"/>
    <w:rsid w:val="001F69B4"/>
    <w:rsid w:val="002003D4"/>
    <w:rsid w:val="00236429"/>
    <w:rsid w:val="00243156"/>
    <w:rsid w:val="00285A03"/>
    <w:rsid w:val="0029497D"/>
    <w:rsid w:val="002A710F"/>
    <w:rsid w:val="002D1CFA"/>
    <w:rsid w:val="002E39A9"/>
    <w:rsid w:val="002E641F"/>
    <w:rsid w:val="003119C7"/>
    <w:rsid w:val="0034399A"/>
    <w:rsid w:val="0034606F"/>
    <w:rsid w:val="00360354"/>
    <w:rsid w:val="003878B9"/>
    <w:rsid w:val="00405273"/>
    <w:rsid w:val="00415CA1"/>
    <w:rsid w:val="00446824"/>
    <w:rsid w:val="00453FA9"/>
    <w:rsid w:val="0045796F"/>
    <w:rsid w:val="0046355D"/>
    <w:rsid w:val="00465C87"/>
    <w:rsid w:val="004A579D"/>
    <w:rsid w:val="004C3621"/>
    <w:rsid w:val="004D195B"/>
    <w:rsid w:val="00541957"/>
    <w:rsid w:val="00576428"/>
    <w:rsid w:val="0058249D"/>
    <w:rsid w:val="00596D86"/>
    <w:rsid w:val="005B5DF8"/>
    <w:rsid w:val="005E47D7"/>
    <w:rsid w:val="00617553"/>
    <w:rsid w:val="00644D04"/>
    <w:rsid w:val="00660376"/>
    <w:rsid w:val="00681C59"/>
    <w:rsid w:val="006965AE"/>
    <w:rsid w:val="006A42D0"/>
    <w:rsid w:val="006C7D6E"/>
    <w:rsid w:val="006D2A66"/>
    <w:rsid w:val="006E61FB"/>
    <w:rsid w:val="006F0D43"/>
    <w:rsid w:val="007131EB"/>
    <w:rsid w:val="00724F04"/>
    <w:rsid w:val="0073006C"/>
    <w:rsid w:val="00732AA2"/>
    <w:rsid w:val="007537A8"/>
    <w:rsid w:val="00757F05"/>
    <w:rsid w:val="0076641A"/>
    <w:rsid w:val="00773EC1"/>
    <w:rsid w:val="00780DFE"/>
    <w:rsid w:val="0078371D"/>
    <w:rsid w:val="007B069F"/>
    <w:rsid w:val="00835E02"/>
    <w:rsid w:val="0083657B"/>
    <w:rsid w:val="00860633"/>
    <w:rsid w:val="00872EE4"/>
    <w:rsid w:val="00882071"/>
    <w:rsid w:val="008C03E8"/>
    <w:rsid w:val="008C2DC8"/>
    <w:rsid w:val="00912A97"/>
    <w:rsid w:val="00932D17"/>
    <w:rsid w:val="0098418E"/>
    <w:rsid w:val="0098558B"/>
    <w:rsid w:val="009971E5"/>
    <w:rsid w:val="009D54E3"/>
    <w:rsid w:val="009E6025"/>
    <w:rsid w:val="00A06A0F"/>
    <w:rsid w:val="00A07515"/>
    <w:rsid w:val="00A30E03"/>
    <w:rsid w:val="00A3342B"/>
    <w:rsid w:val="00A81ACF"/>
    <w:rsid w:val="00AC40F7"/>
    <w:rsid w:val="00B00911"/>
    <w:rsid w:val="00B03F7E"/>
    <w:rsid w:val="00B074F3"/>
    <w:rsid w:val="00B126C8"/>
    <w:rsid w:val="00B16721"/>
    <w:rsid w:val="00B451E2"/>
    <w:rsid w:val="00B62CC5"/>
    <w:rsid w:val="00B778C7"/>
    <w:rsid w:val="00B972D1"/>
    <w:rsid w:val="00BA6E55"/>
    <w:rsid w:val="00BB10FA"/>
    <w:rsid w:val="00BC115C"/>
    <w:rsid w:val="00BC3F51"/>
    <w:rsid w:val="00BC4E90"/>
    <w:rsid w:val="00BF2A1B"/>
    <w:rsid w:val="00BF3095"/>
    <w:rsid w:val="00C03BD5"/>
    <w:rsid w:val="00C06458"/>
    <w:rsid w:val="00C1308C"/>
    <w:rsid w:val="00C26054"/>
    <w:rsid w:val="00C43C71"/>
    <w:rsid w:val="00C73903"/>
    <w:rsid w:val="00C944F1"/>
    <w:rsid w:val="00CE3CC4"/>
    <w:rsid w:val="00D24625"/>
    <w:rsid w:val="00D705EF"/>
    <w:rsid w:val="00DA1F3E"/>
    <w:rsid w:val="00DD3356"/>
    <w:rsid w:val="00DE036A"/>
    <w:rsid w:val="00DF222F"/>
    <w:rsid w:val="00E3124F"/>
    <w:rsid w:val="00E35EC9"/>
    <w:rsid w:val="00E41878"/>
    <w:rsid w:val="00E5108E"/>
    <w:rsid w:val="00E93C02"/>
    <w:rsid w:val="00EA79C4"/>
    <w:rsid w:val="00EC5B85"/>
    <w:rsid w:val="00ED657A"/>
    <w:rsid w:val="00EE2288"/>
    <w:rsid w:val="00F06084"/>
    <w:rsid w:val="00F22F60"/>
    <w:rsid w:val="00F96CFA"/>
    <w:rsid w:val="00FC093E"/>
    <w:rsid w:val="00FE33FE"/>
    <w:rsid w:val="00FF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2CCD5"/>
  <w15:docId w15:val="{8955B97A-1B90-4DE0-9E05-39F64896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972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agwek1">
    <w:name w:val="heading 1"/>
    <w:basedOn w:val="Normalny"/>
    <w:next w:val="Normalny"/>
    <w:link w:val="Nagwek1Znak"/>
    <w:qFormat/>
    <w:rsid w:val="00B972D1"/>
    <w:pPr>
      <w:keepNext/>
      <w:spacing w:before="240" w:after="60" w:line="360" w:lineRule="auto"/>
      <w:outlineLvl w:val="0"/>
    </w:pPr>
    <w:rPr>
      <w:rFonts w:ascii="Cambria" w:hAnsi="Cambria"/>
      <w:b/>
      <w:bCs/>
      <w:kern w:val="32"/>
      <w:sz w:val="18"/>
      <w:szCs w:val="3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972D1"/>
    <w:pPr>
      <w:tabs>
        <w:tab w:val="center" w:pos="4513"/>
        <w:tab w:val="right" w:pos="9026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B972D1"/>
  </w:style>
  <w:style w:type="paragraph" w:styleId="Stopka">
    <w:name w:val="footer"/>
    <w:basedOn w:val="Normalny"/>
    <w:link w:val="StopkaZnak"/>
    <w:uiPriority w:val="99"/>
    <w:unhideWhenUsed/>
    <w:rsid w:val="00B972D1"/>
    <w:pPr>
      <w:tabs>
        <w:tab w:val="center" w:pos="4513"/>
        <w:tab w:val="right" w:pos="9026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B972D1"/>
  </w:style>
  <w:style w:type="character" w:styleId="Hipercze">
    <w:name w:val="Hyperlink"/>
    <w:rsid w:val="00B972D1"/>
    <w:rPr>
      <w:color w:val="0000FF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972D1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972D1"/>
    <w:rPr>
      <w:rFonts w:ascii="Tahoma" w:hAnsi="Tahoma" w:cs="Tahoma"/>
      <w:sz w:val="16"/>
      <w:szCs w:val="16"/>
    </w:rPr>
  </w:style>
  <w:style w:type="character" w:customStyle="1" w:styleId="Nagwek1Znak">
    <w:name w:val="Nagłówek 1 Znak"/>
    <w:basedOn w:val="Domylnaczcionkaakapitu"/>
    <w:link w:val="Nagwek1"/>
    <w:rsid w:val="00B972D1"/>
    <w:rPr>
      <w:rFonts w:ascii="Cambria" w:eastAsia="Times New Roman" w:hAnsi="Cambria" w:cs="Times New Roman"/>
      <w:b/>
      <w:bCs/>
      <w:kern w:val="32"/>
      <w:sz w:val="18"/>
      <w:szCs w:val="32"/>
    </w:rPr>
  </w:style>
  <w:style w:type="table" w:styleId="Tabela-Siatka">
    <w:name w:val="Table Grid"/>
    <w:basedOn w:val="Standardowy"/>
    <w:rsid w:val="00B972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1337D5"/>
  </w:style>
  <w:style w:type="character" w:styleId="Tekstzastpczy">
    <w:name w:val="Placeholder Text"/>
    <w:basedOn w:val="Domylnaczcionkaakapitu"/>
    <w:uiPriority w:val="99"/>
    <w:semiHidden/>
    <w:rsid w:val="00617553"/>
    <w:rPr>
      <w:color w:val="666666"/>
    </w:rPr>
  </w:style>
  <w:style w:type="paragraph" w:customStyle="1" w:styleId="Bibliografia1">
    <w:name w:val="Bibliografia1"/>
    <w:basedOn w:val="Normalny"/>
    <w:rsid w:val="00617553"/>
    <w:pPr>
      <w:spacing w:before="100" w:beforeAutospacing="1" w:after="100" w:afterAutospacing="1"/>
    </w:pPr>
    <w:rPr>
      <w:rFonts w:eastAsiaTheme="minorEastAsia"/>
      <w:lang w:val="pl-PL" w:eastAsia="pl-PL"/>
    </w:rPr>
  </w:style>
  <w:style w:type="paragraph" w:styleId="Legenda">
    <w:name w:val="caption"/>
    <w:basedOn w:val="Normalny"/>
    <w:next w:val="Normalny"/>
    <w:uiPriority w:val="35"/>
    <w:unhideWhenUsed/>
    <w:qFormat/>
    <w:rsid w:val="008C03E8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Bibliografia2">
    <w:name w:val="Bibliografia2"/>
    <w:basedOn w:val="Normalny"/>
    <w:rsid w:val="00932D17"/>
    <w:pPr>
      <w:spacing w:before="100" w:beforeAutospacing="1" w:after="100" w:afterAutospacing="1"/>
    </w:pPr>
    <w:rPr>
      <w:rFonts w:eastAsiaTheme="minorEastAsia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C5D4CB5-768A-CB46-9EC6-B5EBDBCE22B0}"/>
      </w:docPartPr>
      <w:docPartBody>
        <w:p w:rsidR="002665FF" w:rsidRDefault="003839BD">
          <w:r w:rsidRPr="00B02F30">
            <w:rPr>
              <w:rStyle w:val="Tekstzastpczy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9BD"/>
    <w:rsid w:val="002665FF"/>
    <w:rsid w:val="003839BD"/>
    <w:rsid w:val="004C7269"/>
    <w:rsid w:val="005B5DF8"/>
    <w:rsid w:val="00681471"/>
    <w:rsid w:val="00BA6E55"/>
    <w:rsid w:val="00C1308C"/>
    <w:rsid w:val="00D758DD"/>
    <w:rsid w:val="00E864DD"/>
    <w:rsid w:val="00FD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3839B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1A9515F9-10C5-3F4E-82D3-A51CC24C10E3}">
  <we:reference id="wa200001011" version="1.2.0.0" store="pl-PL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B164443-A4F8-064A-A9E0-691F4DCA187D}">
  <we:reference id="wa104380917" version="1.0.1.0" store="pl-PL" storeType="OMEX"/>
  <we:alternateReferences>
    <we:reference id="WA104380917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c35b8dc-daaa-40ca-baf2-3771e66064ca">4UYAZEKZS7P3-2021921848-118135</_dlc_DocId>
    <_dlc_DocIdUrl xmlns="cc35b8dc-daaa-40ca-baf2-3771e66064ca">
      <Url>https://cranfield.sharepoint.com/sites/ExecOfficeShare/_layouts/15/DocIdRedir.aspx?ID=4UYAZEKZS7P3-2021921848-118135</Url>
      <Description>4UYAZEKZS7P3-2021921848-118135</Description>
    </_dlc_DocIdUrl>
    <_ip_UnifiedCompliancePolicyUIAction xmlns="http://schemas.microsoft.com/sharepoint/v3" xsi:nil="true"/>
    <TaxCatchAll xmlns="cc35b8dc-daaa-40ca-baf2-3771e66064ca" xsi:nil="true"/>
    <_ip_UnifiedCompliancePolicyProperties xmlns="http://schemas.microsoft.com/sharepoint/v3" xsi:nil="true"/>
    <lcf76f155ced4ddcb4097134ff3c332f xmlns="d65b5bdd-3d83-49e7-85c1-0a6c5727920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BA53D206675546A294DD7F1D980A1F" ma:contentTypeVersion="4835" ma:contentTypeDescription="Create a new document." ma:contentTypeScope="" ma:versionID="d8813a0f98653502003e02cdedae6ebd">
  <xsd:schema xmlns:xsd="http://www.w3.org/2001/XMLSchema" xmlns:xs="http://www.w3.org/2001/XMLSchema" xmlns:p="http://schemas.microsoft.com/office/2006/metadata/properties" xmlns:ns1="http://schemas.microsoft.com/sharepoint/v3" xmlns:ns2="cc35b8dc-daaa-40ca-baf2-3771e66064ca" xmlns:ns3="d65b5bdd-3d83-49e7-85c1-0a6c57279201" targetNamespace="http://schemas.microsoft.com/office/2006/metadata/properties" ma:root="true" ma:fieldsID="013f65160781d5ef323784482004861c" ns1:_="" ns2:_="" ns3:_="">
    <xsd:import namespace="http://schemas.microsoft.com/sharepoint/v3"/>
    <xsd:import namespace="cc35b8dc-daaa-40ca-baf2-3771e66064ca"/>
    <xsd:import namespace="d65b5bdd-3d83-49e7-85c1-0a6c5727920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  <xsd:element ref="ns3:MediaServiceLocation" minOccurs="0"/>
                <xsd:element ref="ns2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5b8dc-daaa-40ca-baf2-3771e66064c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19ec7b0b-1103-486e-ae10-9c0dd5a1b01b}" ma:internalName="TaxCatchAll" ma:showField="CatchAllData" ma:web="cc35b8dc-daaa-40ca-baf2-3771e66064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b5bdd-3d83-49e7-85c1-0a6c57279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4ed3f799-2585-429a-ae92-38aec2d16a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D56E07-4B8C-4FD0-A046-2F8D22568052}">
  <ds:schemaRefs>
    <ds:schemaRef ds:uri="http://schemas.microsoft.com/office/2006/metadata/properties"/>
    <ds:schemaRef ds:uri="http://schemas.microsoft.com/office/infopath/2007/PartnerControls"/>
    <ds:schemaRef ds:uri="cc35b8dc-daaa-40ca-baf2-3771e66064ca"/>
    <ds:schemaRef ds:uri="http://schemas.microsoft.com/sharepoint/v3"/>
    <ds:schemaRef ds:uri="d65b5bdd-3d83-49e7-85c1-0a6c57279201"/>
  </ds:schemaRefs>
</ds:datastoreItem>
</file>

<file path=customXml/itemProps2.xml><?xml version="1.0" encoding="utf-8"?>
<ds:datastoreItem xmlns:ds="http://schemas.openxmlformats.org/officeDocument/2006/customXml" ds:itemID="{10AA9595-1F15-423A-94BE-6B092971EE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c35b8dc-daaa-40ca-baf2-3771e66064ca"/>
    <ds:schemaRef ds:uri="d65b5bdd-3d83-49e7-85c1-0a6c572792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01A8C3-9D00-45D7-A6A2-5A649F641BA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10D6197-71BB-463D-9B48-0FF5EE23E03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63D9DAB-6942-4C3B-9E28-321D8875F5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711</Words>
  <Characters>4633</Characters>
  <Application>Microsoft Office Word</Application>
  <DocSecurity>0</DocSecurity>
  <Lines>71</Lines>
  <Paragraphs>26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Cranfield University</Company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u022428</dc:creator>
  <cp:lastModifiedBy>Dawid Kucharski</cp:lastModifiedBy>
  <cp:revision>35</cp:revision>
  <cp:lastPrinted>2014-08-14T13:01:00Z</cp:lastPrinted>
  <dcterms:created xsi:type="dcterms:W3CDTF">2026-03-31T14:11:00Z</dcterms:created>
  <dcterms:modified xsi:type="dcterms:W3CDTF">2026-04-27T09:22:00Z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0x010100D8BA53D206675546A294DD7F1D980A1F</vt:lpwstr>
  </property>
  <property fmtid="{D5CDD505-2E9C-101B-9397-08002B2CF9AE}" pid="3" name="Order">
    <vt:r8>100</vt:r8>
  </property>
  <property fmtid="{D5CDD505-2E9C-101B-9397-08002B2CF9AE}" pid="4" name="_dlc_DocIdItemGuid">
    <vt:lpwstr>a4c0925b-ed33-41d8-b06b-8877135f91b5</vt:lpwstr>
  </property>
  <property fmtid="{D5CDD505-2E9C-101B-9397-08002B2CF9AE}" pid="5" name="MediaServiceImageTags">
    <vt:lpwstr/>
  </property>
</Properties>
</file>