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rPr>
          <w:rFonts w:ascii="Times New Roman" w:hAnsi="Times New Roman"/>
          <w:sz w:val="22"/>
        </w:rPr>
        <w:t>2D CSR baseline for the Brody exponent is β = 0.96 ± 0.15, not β = 0.</w:t>
      </w:r>
    </w:p>
    <w:p>
      <w:pPr>
        <w:pStyle w:val="ListBullet"/>
      </w:pPr>
      <w:r>
        <w:rPr>
          <w:rFonts w:ascii="Times New Roman" w:hAnsi="Times New Roman"/>
          <w:sz w:val="22"/>
        </w:rPr>
        <w:t>Monotonic β–r_excl/⟨NN⟩ calibration translates β into a physical exclusion radius.</w:t>
      </w:r>
    </w:p>
    <w:p>
      <w:pPr>
        <w:pStyle w:val="ListBullet"/>
      </w:pPr>
      <w:r>
        <w:rPr>
          <w:rFonts w:ascii="Times New Roman" w:hAnsi="Times New Roman"/>
          <w:sz w:val="22"/>
        </w:rPr>
        <w:t>Density-thinning protocol: CSR baseline is density-stable (0.95–0.99), isolating genuine exclusion from density effects.</w:t>
      </w:r>
    </w:p>
    <w:p>
      <w:pPr>
        <w:pStyle w:val="ListBullet"/>
      </w:pPr>
      <w:r>
        <w:rPr>
          <w:rFonts w:ascii="Times New Roman" w:hAnsi="Times New Roman"/>
          <w:sz w:val="22"/>
        </w:rPr>
        <w:t>Spatial permutation destroys prime β (2.15 → 0.00): 2D arrangement, not density, drives the exclusion signal.</w:t>
      </w:r>
    </w:p>
    <w:p>
      <w:pPr>
        <w:pStyle w:val="ListBullet"/>
      </w:pPr>
      <w:r>
        <w:rPr>
          <w:rFonts w:ascii="Times New Roman" w:hAnsi="Times New Roman"/>
          <w:sz w:val="22"/>
        </w:rPr>
        <w:t>Arithmetic divisibility constraints produce measurable anti-clustering (ΔD₂ &gt; 0) in prime embeddings.</w:t>
      </w:r>
    </w:p>
    <w:p>
      <w:r>
        <w:rPr>
          <w:rFonts w:ascii="Times New Roman" w:hAnsi="Times New Roman"/>
          <w:i/>
          <w:sz w:val="18"/>
        </w:rPr>
        <w:t>Each highlight ≤ 85 characters (Physica A requirement).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