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Workflow benchmark maps optical roughness measurements against a tactile baseline.</w:t>
      </w:r>
    </w:p>
    <w:p>
      <w:pPr>
        <w:pStyle w:val="Compact"/>
        <w:numPr>
          <w:ilvl w:val="0"/>
          <w:numId w:val="1001"/>
        </w:numPr>
      </w:pPr>
      <w:r>
        <w:t xml:space="preserve">Fixed and held-out analyses quantify workflow-selection effects.</w:t>
      </w:r>
    </w:p>
    <w:p>
      <w:pPr>
        <w:pStyle w:val="Compact"/>
        <w:numPr>
          <w:ilvl w:val="0"/>
          <w:numId w:val="1001"/>
        </w:numPr>
      </w:pPr>
      <w:r>
        <w:t xml:space="preserve">Amplitude parameters are stronger optical-screening candidates than Rsm.</w:t>
      </w:r>
    </w:p>
    <w:p>
      <w:pPr>
        <w:pStyle w:val="Compact"/>
        <w:numPr>
          <w:ilvl w:val="0"/>
          <w:numId w:val="1001"/>
        </w:numPr>
      </w:pPr>
      <w:r>
        <w:t xml:space="preserve">Tactile Type A uncertainty is below most optical discrepancies.</w:t>
      </w:r>
    </w:p>
    <w:p>
      <w:pPr>
        <w:pStyle w:val="Compact"/>
        <w:numPr>
          <w:ilvl w:val="0"/>
          <w:numId w:val="1001"/>
        </w:numPr>
      </w:pPr>
      <w:r>
        <w:t xml:space="preserve">Reproducibility materials provide scripts, derived data, tables, and figures.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2026-05-18T08:51:14Z</dcterms:created>
  <dcterms:modified xsi:type="dcterms:W3CDTF">2026-05-18T08:51:14Z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