
<file path=[Content_Types].xml><?xml version="1.0" encoding="utf-8"?>
<Types xmlns="http://schemas.openxmlformats.org/package/2006/content-types">
  <Default Extension="emf" ContentType="image/x-emf"/>
  <Default Extension="ICO" ContentType="image/.ico"/>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AC02" w14:textId="164A0697" w:rsidR="009F7FCE" w:rsidRPr="005E578C" w:rsidRDefault="004D7745" w:rsidP="00C24DEF">
      <w:pPr>
        <w:pStyle w:val="papertitle"/>
      </w:pPr>
      <w:r w:rsidRPr="004D7745">
        <w:rPr>
          <w:bCs/>
        </w:rPr>
        <w:t>Optical vs tactile surface metrology: multi</w:t>
      </w:r>
      <w:r>
        <w:rPr>
          <w:bCs/>
        </w:rPr>
        <w:t>-</w:t>
      </w:r>
      <w:r w:rsidRPr="004D7745">
        <w:rPr>
          <w:bCs/>
        </w:rPr>
        <w:t>material analysis of measurement error and wavelength effects</w:t>
      </w:r>
    </w:p>
    <w:p w14:paraId="02D081C0" w14:textId="50B0A779" w:rsidR="00D146FF" w:rsidRPr="005E578C" w:rsidRDefault="00D34F96" w:rsidP="00D146FF">
      <w:pPr>
        <w:pStyle w:val="keywords"/>
        <w:ind w:left="0" w:right="-28"/>
        <w:jc w:val="center"/>
        <w:rPr>
          <w:sz w:val="20"/>
          <w:lang w:val="en-GB" w:eastAsia="ar-SA"/>
        </w:rPr>
      </w:pPr>
      <w:r>
        <w:rPr>
          <w:sz w:val="20"/>
          <w:lang w:val="en-GB" w:eastAsia="ar-SA"/>
        </w:rPr>
        <w:t>D. Kucharski</w:t>
      </w:r>
      <w:r w:rsidR="00D146FF" w:rsidRPr="005E578C">
        <w:rPr>
          <w:sz w:val="20"/>
          <w:vertAlign w:val="superscript"/>
          <w:lang w:val="en-GB" w:eastAsia="ar-SA"/>
        </w:rPr>
        <w:t>1*[0000-1111-2222-3333]</w:t>
      </w:r>
      <w:r w:rsidR="00D146FF" w:rsidRPr="005E578C">
        <w:rPr>
          <w:sz w:val="20"/>
          <w:lang w:val="en-GB" w:eastAsia="ar-SA"/>
        </w:rPr>
        <w:t>, Second Author</w:t>
      </w:r>
      <w:r w:rsidR="00D146FF" w:rsidRPr="005E578C">
        <w:rPr>
          <w:sz w:val="20"/>
          <w:vertAlign w:val="superscript"/>
          <w:lang w:val="en-GB" w:eastAsia="ar-SA"/>
        </w:rPr>
        <w:t>1[1111-2222-3333-4444]</w:t>
      </w:r>
      <w:r w:rsidR="00D146FF" w:rsidRPr="005E578C">
        <w:rPr>
          <w:sz w:val="20"/>
          <w:lang w:val="en-GB" w:eastAsia="ar-SA"/>
        </w:rPr>
        <w:t>, and Third Author</w:t>
      </w:r>
      <w:r w:rsidR="00D146FF" w:rsidRPr="005E578C">
        <w:rPr>
          <w:sz w:val="20"/>
          <w:vertAlign w:val="superscript"/>
          <w:lang w:val="en-GB" w:eastAsia="ar-SA"/>
        </w:rPr>
        <w:t>2[2222-3333-4444-5555]</w:t>
      </w:r>
    </w:p>
    <w:p w14:paraId="140E5EFF" w14:textId="77777777" w:rsidR="00D146FF" w:rsidRPr="005E578C" w:rsidRDefault="00D146FF" w:rsidP="00D146FF">
      <w:pPr>
        <w:pStyle w:val="keywords"/>
        <w:jc w:val="center"/>
        <w:rPr>
          <w:sz w:val="20"/>
          <w:lang w:val="en-GB" w:eastAsia="ar-SA"/>
        </w:rPr>
      </w:pPr>
      <w:r w:rsidRPr="005E578C">
        <w:rPr>
          <w:sz w:val="20"/>
          <w:vertAlign w:val="superscript"/>
          <w:lang w:val="en-GB" w:eastAsia="ar-SA"/>
        </w:rPr>
        <w:t>1</w:t>
      </w:r>
      <w:r w:rsidRPr="005E578C">
        <w:rPr>
          <w:sz w:val="20"/>
          <w:lang w:val="en-GB" w:eastAsia="ar-SA"/>
        </w:rPr>
        <w:t>Affiliation, Town/City, Country</w:t>
      </w:r>
      <w:r w:rsidRPr="005E578C">
        <w:rPr>
          <w:sz w:val="20"/>
          <w:lang w:val="en-GB" w:eastAsia="ar-SA"/>
        </w:rPr>
        <w:br/>
      </w:r>
      <w:hyperlink r:id="rId7" w:history="1">
        <w:r w:rsidRPr="005E578C">
          <w:rPr>
            <w:rStyle w:val="Hipercze"/>
            <w:sz w:val="20"/>
            <w:lang w:val="en-GB" w:eastAsia="ar-SA"/>
          </w:rPr>
          <w:t>firstname.secondname@springernature.com</w:t>
        </w:r>
      </w:hyperlink>
    </w:p>
    <w:p w14:paraId="065F119E" w14:textId="77777777" w:rsidR="009E1381" w:rsidRPr="005E578C" w:rsidRDefault="009B2539" w:rsidP="00D146FF">
      <w:pPr>
        <w:pStyle w:val="keywords"/>
        <w:rPr>
          <w:sz w:val="20"/>
        </w:rPr>
      </w:pPr>
      <w:r w:rsidRPr="005E578C">
        <w:rPr>
          <w:b/>
          <w:bCs/>
          <w:sz w:val="20"/>
        </w:rPr>
        <w:t>Keywords:</w:t>
      </w:r>
      <w:r w:rsidRPr="005E578C">
        <w:rPr>
          <w:sz w:val="20"/>
        </w:rPr>
        <w:t xml:space="preserve"> First Keyword, Second Keyword, Third Keyword.</w:t>
      </w:r>
    </w:p>
    <w:p w14:paraId="08338EA1" w14:textId="77777777" w:rsidR="007B7AFC" w:rsidRPr="005E578C" w:rsidRDefault="00A24D81" w:rsidP="007B6B19">
      <w:pPr>
        <w:pStyle w:val="heading1"/>
        <w:numPr>
          <w:ilvl w:val="0"/>
          <w:numId w:val="0"/>
        </w:numPr>
        <w:ind w:left="567" w:hanging="567"/>
      </w:pPr>
      <w:r w:rsidRPr="005E578C">
        <w:t>Extended</w:t>
      </w:r>
      <w:r w:rsidR="007B6B19" w:rsidRPr="005E578C">
        <w:t xml:space="preserve"> </w:t>
      </w:r>
      <w:r w:rsidRPr="005E578C">
        <w:t>A</w:t>
      </w:r>
      <w:r w:rsidR="007B6B19" w:rsidRPr="005E578C">
        <w:t>bstract</w:t>
      </w:r>
    </w:p>
    <w:p w14:paraId="56A12300" w14:textId="768FCF7A" w:rsidR="007B6B19" w:rsidRPr="005E578C" w:rsidRDefault="00D9564B" w:rsidP="00D9564B">
      <w:pPr>
        <w:pStyle w:val="p1a"/>
      </w:pPr>
      <w:r w:rsidRPr="005E578C">
        <w:t xml:space="preserve">The present study evaluates the agreement between optical surface metrology systems and a tactile reference </w:t>
      </w:r>
      <w:r w:rsidR="00446EA9">
        <w:t>across a range of roughness parameters, materials, and finishing processes (see, e.g.,</w:t>
      </w:r>
      <w:r w:rsidR="00683361">
        <w:t xml:space="preserve"> </w:t>
      </w:r>
      <w:r w:rsidR="00683361">
        <w:fldChar w:fldCharType="begin"/>
      </w:r>
      <w:r w:rsidR="00683361">
        <w:instrText xml:space="preserve"> REF _Ref215651600 \h </w:instrText>
      </w:r>
      <w:r w:rsidR="00683361">
        <w:fldChar w:fldCharType="separate"/>
      </w:r>
      <w:r w:rsidR="00683361">
        <w:t xml:space="preserve">Figure </w:t>
      </w:r>
      <w:r w:rsidR="00683361">
        <w:rPr>
          <w:noProof/>
        </w:rPr>
        <w:t>1</w:t>
      </w:r>
      <w:r w:rsidR="00683361">
        <w:fldChar w:fldCharType="end"/>
      </w:r>
      <w:r w:rsidR="00683361">
        <w:t>)</w:t>
      </w:r>
      <w:r w:rsidRPr="005E578C">
        <w:t xml:space="preserve">. The main objective is to quantify the absolute percentage error of optical measurements </w:t>
      </w:r>
      <w:r w:rsidR="0087787E">
        <w:t>relative</w:t>
      </w:r>
      <w:r w:rsidRPr="005E578C">
        <w:t xml:space="preserve"> to the tactile baseline and to identify which factors – optical system, </w:t>
      </w:r>
      <w:proofErr w:type="spellStart"/>
      <w:r w:rsidRPr="005E578C">
        <w:t>colour</w:t>
      </w:r>
      <w:proofErr w:type="spellEnd"/>
      <w:r w:rsidRPr="005E578C">
        <w:t xml:space="preserve"> (as a proxy for illumination wavelength), roughness parameter</w:t>
      </w:r>
      <w:r w:rsidR="0087787E">
        <w:t>,</w:t>
      </w:r>
      <w:r w:rsidRPr="005E578C">
        <w:t xml:space="preserve"> and material/process – have the </w:t>
      </w:r>
      <w:r w:rsidR="0087787E">
        <w:t>great</w:t>
      </w:r>
      <w:r w:rsidRPr="005E578C">
        <w:t>est influence on this error. The analysis is intended to support practical recommendations for selecting optical configurations that approximate tactile measurements as closely as possible in industrial use.</w:t>
      </w:r>
    </w:p>
    <w:p w14:paraId="7DCDD69B" w14:textId="63981320" w:rsidR="00D9564B" w:rsidRPr="005E578C" w:rsidRDefault="0087787E" w:rsidP="00D9564B">
      <w:r>
        <w:t xml:space="preserve">Measurements were taken for various engineering materials and machining or finishing processes, using a standard set of roughness parameters (e.g., Ra, Rz, Rt, Rz1max, Rp, </w:t>
      </w:r>
      <w:proofErr w:type="spellStart"/>
      <w:r>
        <w:t>Rv</w:t>
      </w:r>
      <w:proofErr w:type="spellEnd"/>
      <w:r>
        <w:t xml:space="preserve">). Tactile data were initially cleaned </w:t>
      </w:r>
      <w:r w:rsidR="00446EA9">
        <w:t>using automatic header detection and numeric parsing; the tactile reference for each case was set to the average tactile value for the corresponding</w:t>
      </w:r>
      <w:r>
        <w:t xml:space="preserve"> parameter. Optical data were parsed to determine the system identity, </w:t>
      </w:r>
      <w:proofErr w:type="spellStart"/>
      <w:r>
        <w:t>colour</w:t>
      </w:r>
      <w:proofErr w:type="spellEnd"/>
      <w:r>
        <w:t xml:space="preserve"> channel, and nominal wavelength for each measurement. For each observation, the absolute percentage difference was calculated as</w:t>
      </w:r>
    </w:p>
    <w:p w14:paraId="04FD474D" w14:textId="160C8D82" w:rsidR="005E578C" w:rsidRDefault="00000000" w:rsidP="005E578C">
      <w:pPr>
        <w:jc w:val="center"/>
        <w:rPr>
          <w:rFonts w:ascii="Monaco" w:hAnsi="Monaco"/>
          <w:sz w:val="18"/>
          <w:szCs w:val="18"/>
        </w:rPr>
      </w:pPr>
      <m:oMath>
        <m:d>
          <m:dPr>
            <m:begChr m:val="|"/>
            <m:endChr m:val="|"/>
            <m:ctrlPr>
              <w:rPr>
                <w:rFonts w:ascii="Cambria Math" w:hAnsi="Cambria Math"/>
                <w:i/>
                <w:sz w:val="18"/>
                <w:szCs w:val="18"/>
              </w:rPr>
            </m:ctrlPr>
          </m:dPr>
          <m:e>
            <m:r>
              <w:rPr>
                <w:rFonts w:ascii="Cambria Math" w:hAnsi="Cambria Math"/>
                <w:sz w:val="18"/>
                <w:szCs w:val="18"/>
              </w:rPr>
              <m:t>diff</m:t>
            </m:r>
          </m:e>
        </m:d>
        <m:d>
          <m:dPr>
            <m:ctrlPr>
              <w:rPr>
                <w:rFonts w:ascii="Cambria Math" w:hAnsi="Cambria Math"/>
                <w:i/>
                <w:sz w:val="18"/>
                <w:szCs w:val="18"/>
              </w:rPr>
            </m:ctrlPr>
          </m:dPr>
          <m:e>
            <m:r>
              <w:rPr>
                <w:rFonts w:ascii="Cambria Math" w:hAnsi="Cambria Math"/>
                <w:sz w:val="18"/>
                <w:szCs w:val="18"/>
              </w:rPr>
              <m:t>%</m:t>
            </m:r>
          </m:e>
        </m:d>
        <m:r>
          <w:rPr>
            <w:rFonts w:ascii="Cambria Math" w:hAnsi="Cambria Math"/>
            <w:sz w:val="18"/>
            <w:szCs w:val="18"/>
          </w:rPr>
          <m:t>=100</m:t>
        </m:r>
        <m:r>
          <m:rPr>
            <m:sty m:val="p"/>
          </m:rPr>
          <w:rPr>
            <w:rFonts w:ascii="Cambria Math" w:hAnsi="Cambria Math"/>
            <w:sz w:val="18"/>
            <w:szCs w:val="18"/>
          </w:rPr>
          <m:t>⋅</m:t>
        </m:r>
        <m:f>
          <m:fPr>
            <m:ctrlPr>
              <w:rPr>
                <w:rFonts w:ascii="Cambria Math" w:hAnsi="Cambria Math"/>
                <w:sz w:val="18"/>
                <w:szCs w:val="18"/>
              </w:rPr>
            </m:ctrlPr>
          </m:fPr>
          <m:num>
            <m:d>
              <m:dPr>
                <m:begChr m:val="|"/>
                <m:endChr m:val="|"/>
                <m:ctrlPr>
                  <w:rPr>
                    <w:rFonts w:ascii="Cambria Math" w:hAnsi="Cambria Math"/>
                    <w:i/>
                    <w:sz w:val="18"/>
                    <w:szCs w:val="18"/>
                  </w:rPr>
                </m:ctrlPr>
              </m:dPr>
              <m:e>
                <m:r>
                  <w:rPr>
                    <w:rFonts w:ascii="Cambria Math" w:hAnsi="Cambria Math"/>
                    <w:sz w:val="18"/>
                    <w:szCs w:val="18"/>
                  </w:rPr>
                  <m:t>O-S</m:t>
                </m:r>
              </m:e>
            </m:d>
            <m:ctrlPr>
              <w:rPr>
                <w:rFonts w:ascii="Cambria Math" w:hAnsi="Cambria Math"/>
                <w:i/>
                <w:sz w:val="18"/>
                <w:szCs w:val="18"/>
              </w:rPr>
            </m:ctrlPr>
          </m:num>
          <m:den>
            <m:r>
              <w:rPr>
                <w:rFonts w:ascii="Cambria Math" w:hAnsi="Cambria Math"/>
                <w:sz w:val="18"/>
                <w:szCs w:val="18"/>
              </w:rPr>
              <m:t>S</m:t>
            </m:r>
            <m:ctrlPr>
              <w:rPr>
                <w:rFonts w:ascii="Cambria Math" w:hAnsi="Cambria Math"/>
                <w:i/>
                <w:sz w:val="18"/>
                <w:szCs w:val="18"/>
              </w:rPr>
            </m:ctrlPr>
          </m:den>
        </m:f>
      </m:oMath>
      <w:r w:rsidR="005E578C">
        <w:rPr>
          <w:rFonts w:ascii="Monaco" w:hAnsi="Monaco"/>
          <w:sz w:val="18"/>
          <w:szCs w:val="18"/>
        </w:rPr>
        <w:t>,</w:t>
      </w:r>
    </w:p>
    <w:p w14:paraId="403E42CD" w14:textId="39BAC381" w:rsidR="00D9564B" w:rsidRDefault="0087787E" w:rsidP="005E578C">
      <w:pPr>
        <w:ind w:firstLine="0"/>
      </w:pPr>
      <w:r>
        <w:t xml:space="preserve">where O represents the optical value and S the tactile reference, and all subsequent analyses were conducted on this absolute error. </w:t>
      </w:r>
      <w:r w:rsidR="00446EA9">
        <w:fldChar w:fldCharType="begin"/>
      </w:r>
      <w:r w:rsidR="00446EA9">
        <w:instrText xml:space="preserve"> REF _Ref215651600 \h </w:instrText>
      </w:r>
      <w:r w:rsidR="00446EA9">
        <w:fldChar w:fldCharType="separate"/>
      </w:r>
      <w:r w:rsidR="00446EA9">
        <w:t xml:space="preserve">Figure </w:t>
      </w:r>
      <w:r w:rsidR="00446EA9">
        <w:rPr>
          <w:noProof/>
        </w:rPr>
        <w:t>1</w:t>
      </w:r>
      <w:r w:rsidR="00446EA9">
        <w:fldChar w:fldCharType="end"/>
      </w:r>
      <w:r w:rsidR="00446EA9">
        <w:t xml:space="preserve"> </w:t>
      </w:r>
      <w:proofErr w:type="spellStart"/>
      <w:r>
        <w:t>summarises</w:t>
      </w:r>
      <w:proofErr w:type="spellEnd"/>
      <w:r>
        <w:t xml:space="preserve"> the mean absolute percentage error for all optical systems across the dataset, highlighting significant performance variations between systems.</w:t>
      </w:r>
    </w:p>
    <w:p w14:paraId="1088F124" w14:textId="4CEAF12C" w:rsidR="005E578C" w:rsidRDefault="005E578C" w:rsidP="005E578C">
      <w:pPr>
        <w:ind w:firstLine="0"/>
      </w:pPr>
      <w:r w:rsidRPr="005E578C">
        <w:t>The statistical workflow combined several complementary components. First, for each material/process and parameter</w:t>
      </w:r>
      <w:r w:rsidR="00446EA9">
        <w:t>,</w:t>
      </w:r>
      <w:r w:rsidRPr="005E578C">
        <w:t xml:space="preserve"> an analysis of variance of |diff| (%) was carried out with system and </w:t>
      </w:r>
      <w:proofErr w:type="spellStart"/>
      <w:r w:rsidRPr="005E578C">
        <w:t>colour</w:t>
      </w:r>
      <w:proofErr w:type="spellEnd"/>
      <w:r w:rsidRPr="005E578C">
        <w:t xml:space="preserve"> as fixed factors, using the schematic model</w:t>
      </w:r>
      <w:r w:rsidRPr="005E578C">
        <w:br/>
      </w:r>
      <m:oMathPara>
        <m:oMath>
          <m:d>
            <m:dPr>
              <m:begChr m:val="|"/>
              <m:endChr m:val="|"/>
              <m:ctrlPr>
                <w:rPr>
                  <w:rFonts w:ascii="Cambria Math" w:hAnsi="Cambria Math"/>
                  <w:i/>
                </w:rPr>
              </m:ctrlPr>
            </m:dPr>
            <m:e>
              <m:r>
                <w:rPr>
                  <w:rFonts w:ascii="Cambria Math" w:hAnsi="Cambria Math"/>
                </w:rPr>
                <m:t>diff</m:t>
              </m:r>
            </m:e>
          </m:d>
          <m:d>
            <m:dPr>
              <m:ctrlPr>
                <w:rPr>
                  <w:rFonts w:ascii="Cambria Math" w:hAnsi="Cambria Math"/>
                  <w:i/>
                </w:rPr>
              </m:ctrlPr>
            </m:dPr>
            <m:e>
              <m:r>
                <w:rPr>
                  <w:rFonts w:ascii="Cambria Math" w:hAnsi="Cambria Math"/>
                </w:rPr>
                <m:t>%</m:t>
              </m:r>
            </m:e>
          </m:d>
          <m:r>
            <w:rPr>
              <w:rFonts w:ascii="Cambria Math" w:hAnsi="Cambria Math"/>
            </w:rPr>
            <m:t>=</m:t>
          </m:r>
          <m:r>
            <m:rPr>
              <m:nor/>
            </m:rPr>
            <w:rPr>
              <w:rFonts w:ascii="Cambria Math" w:hAnsi="Cambria Math"/>
            </w:rPr>
            <m:t>system</m:t>
          </m:r>
          <m:r>
            <w:rPr>
              <w:rFonts w:ascii="Cambria Math" w:hAnsi="Cambria Math"/>
            </w:rPr>
            <m:t>+</m:t>
          </m:r>
          <m:r>
            <m:rPr>
              <m:nor/>
            </m:rPr>
            <w:rPr>
              <w:rFonts w:ascii="Cambria Math" w:hAnsi="Cambria Math"/>
            </w:rPr>
            <m:t>color</m:t>
          </m:r>
          <m:r>
            <w:rPr>
              <w:rFonts w:ascii="Cambria Math" w:hAnsi="Cambria Math"/>
            </w:rPr>
            <m:t>+</m:t>
          </m:r>
          <m:r>
            <m:rPr>
              <m:sty m:val="p"/>
            </m:rPr>
            <w:rPr>
              <w:rFonts w:ascii="Cambria Math" w:hAnsi="Cambria Math"/>
            </w:rPr>
            <m:t>ε</m:t>
          </m:r>
          <m:r>
            <w:rPr>
              <w:rFonts w:ascii="Cambria Math" w:hAnsi="Cambria Math"/>
            </w:rPr>
            <m:t>,</m:t>
          </m:r>
        </m:oMath>
      </m:oMathPara>
    </w:p>
    <w:p w14:paraId="05A55148" w14:textId="4DD4A1BD" w:rsidR="005E578C" w:rsidRDefault="005E578C" w:rsidP="005E578C">
      <w:pPr>
        <w:ind w:firstLine="0"/>
      </w:pPr>
      <w:r w:rsidRPr="005E578C">
        <w:t>and yielding eta</w:t>
      </w:r>
      <w:r w:rsidRPr="005E578C">
        <w:noBreakHyphen/>
        <w:t xml:space="preserve">squared effect sizes for both factors. These results were </w:t>
      </w:r>
      <w:proofErr w:type="spellStart"/>
      <w:r w:rsidRPr="005E578C">
        <w:t>summarised</w:t>
      </w:r>
      <w:proofErr w:type="spellEnd"/>
      <w:r w:rsidRPr="005E578C">
        <w:t xml:space="preserve"> by “effects by system” and “effects by </w:t>
      </w:r>
      <w:proofErr w:type="spellStart"/>
      <w:r w:rsidRPr="005E578C">
        <w:t>colour</w:t>
      </w:r>
      <w:proofErr w:type="spellEnd"/>
      <w:r w:rsidRPr="005E578C">
        <w:t xml:space="preserve">” plots, and by tables of mean errors with 95% confidence intervals. Second, possible wavelength dependence was examined by global Pearson and Spearman correlations between |diff| (%) and wavelength and, more </w:t>
      </w:r>
      <w:r w:rsidRPr="005E578C">
        <w:lastRenderedPageBreak/>
        <w:t>importantly, by linear regressions fitted separately for each system, modelling</w:t>
      </w:r>
      <w:r w:rsidRPr="005E578C">
        <w:br/>
      </w:r>
      <m:oMathPara>
        <m:oMath>
          <m:d>
            <m:dPr>
              <m:begChr m:val="|"/>
              <m:endChr m:val="|"/>
              <m:ctrlPr>
                <w:rPr>
                  <w:rFonts w:ascii="Cambria Math" w:hAnsi="Cambria Math"/>
                  <w:i/>
                </w:rPr>
              </m:ctrlPr>
            </m:dPr>
            <m:e>
              <m:r>
                <w:rPr>
                  <w:rFonts w:ascii="Cambria Math" w:hAnsi="Cambria Math"/>
                </w:rPr>
                <m:t>diff</m:t>
              </m:r>
            </m:e>
          </m:d>
          <m:d>
            <m:dPr>
              <m:ctrlPr>
                <w:rPr>
                  <w:rFonts w:ascii="Cambria Math" w:hAnsi="Cambria Math"/>
                  <w:i/>
                </w:rPr>
              </m:ctrlPr>
            </m:dPr>
            <m:e>
              <m:r>
                <w:rPr>
                  <w:rFonts w:ascii="Cambria Math" w:hAnsi="Cambria Math"/>
                </w:rPr>
                <m:t>%</m:t>
              </m:r>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r>
            <m:rPr>
              <m:sty m:val="p"/>
            </m:rPr>
            <w:rPr>
              <w:rFonts w:ascii="Cambria Math" w:hAnsi="Cambria Math"/>
            </w:rPr>
            <m:t>⋅</m:t>
          </m:r>
          <m:r>
            <m:rPr>
              <m:nor/>
            </m:rPr>
            <w:rPr>
              <w:rFonts w:ascii="Cambria Math" w:hAnsi="Cambria Math"/>
            </w:rPr>
            <m:t>wavelength</m:t>
          </m:r>
          <m:r>
            <w:rPr>
              <w:rFonts w:ascii="Cambria Math" w:hAnsi="Cambria Math"/>
            </w:rPr>
            <m:t>+</m:t>
          </m:r>
          <m:r>
            <m:rPr>
              <m:sty m:val="p"/>
            </m:rPr>
            <w:rPr>
              <w:rFonts w:ascii="Cambria Math" w:hAnsi="Cambria Math"/>
            </w:rPr>
            <m:t>ε</m:t>
          </m:r>
          <m:r>
            <w:rPr>
              <w:rFonts w:ascii="Cambria Math" w:hAnsi="Cambria Math"/>
            </w:rPr>
            <m:t>.</m:t>
          </m:r>
          <m:r>
            <m:rPr>
              <m:sty m:val="p"/>
            </m:rPr>
            <w:rPr>
              <w:rFonts w:ascii="Cambria Math" w:hAnsi="Cambria Math"/>
            </w:rPr>
            <w:br/>
          </m:r>
        </m:oMath>
      </m:oMathPara>
      <w:r w:rsidRPr="005E578C">
        <w:t>For every system the estimated slope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oMath>
      <w:r w:rsidRPr="005E578C">
        <w:t>, its confidence interval and p</w:t>
      </w:r>
      <w:r w:rsidRPr="005E578C">
        <w:noBreakHyphen/>
        <w:t>value were reported, and systems with statistically significant slopes (p &lt; 0.05) were flagged; additional “trend” cases with </w:t>
      </w:r>
      <m:oMath>
        <m:r>
          <w:rPr>
            <w:rFonts w:ascii="Cambria Math" w:hAnsi="Cambria Math"/>
          </w:rPr>
          <m:t xml:space="preserve">0.05 </m:t>
        </m:r>
        <m:r>
          <m:rPr>
            <m:sty m:val="p"/>
          </m:rPr>
          <w:rPr>
            <w:rFonts w:ascii="Cambria Math" w:hAnsi="Cambria Math"/>
          </w:rPr>
          <m:t>≤</m:t>
        </m:r>
        <m:r>
          <w:rPr>
            <w:rFonts w:ascii="Cambria Math" w:hAnsi="Cambria Math"/>
          </w:rPr>
          <m:t>p &lt; 0.1</m:t>
        </m:r>
      </m:oMath>
      <w:r w:rsidRPr="005E578C">
        <w:t> were recorded. Third, “technical distance” heatmaps were</w:t>
      </w:r>
      <w:r>
        <w:t xml:space="preserve"> </w:t>
      </w:r>
      <w:r w:rsidRPr="005E578C">
        <w:t>constructed from matrices of mean absolute percentage differences between systems, providing a visual summary of how similar or dissimilar different optical configurations are to one another and to the tactile reference. A representative case of close agreement between optics and the tactile reference for one material/parameter combination is shown in Figure 2.</w:t>
      </w:r>
    </w:p>
    <w:p w14:paraId="3C8460B6" w14:textId="3F49E699" w:rsidR="005E578C" w:rsidRDefault="005E578C" w:rsidP="005E578C">
      <w:r w:rsidRPr="005E578C">
        <w:t xml:space="preserve">To obtain a more </w:t>
      </w:r>
      <w:r w:rsidR="0087787E">
        <w:t>comprehensive</w:t>
      </w:r>
      <w:r w:rsidRPr="005E578C">
        <w:t xml:space="preserve"> ranking of influential factors, the statistical analysis was complemented by machine</w:t>
      </w:r>
      <w:r w:rsidR="0087787E">
        <w:t xml:space="preserve"> </w:t>
      </w:r>
      <w:r w:rsidRPr="005E578C">
        <w:t xml:space="preserve">learning models trained to predict |diff| (%) from categorical descriptors (system, </w:t>
      </w:r>
      <w:proofErr w:type="spellStart"/>
      <w:r w:rsidRPr="005E578C">
        <w:t>colour</w:t>
      </w:r>
      <w:proofErr w:type="spellEnd"/>
      <w:r w:rsidRPr="005E578C">
        <w:t>, parameter</w:t>
      </w:r>
      <w:r w:rsidR="0087787E">
        <w:t>,</w:t>
      </w:r>
      <w:r w:rsidRPr="005E578C">
        <w:t xml:space="preserve"> and material/process). Lasso and Ridge regression (via GLMNET) were used to derive coefficient</w:t>
      </w:r>
      <w:r w:rsidR="0087787E">
        <w:t>-</w:t>
      </w:r>
      <w:r w:rsidRPr="005E578C">
        <w:t xml:space="preserve">based importance scores, while Random Forest models provided permutation importances and SHAP value summaries. These models were fitted </w:t>
      </w:r>
      <w:r w:rsidR="00446EA9">
        <w:t>to</w:t>
      </w:r>
      <w:r w:rsidRPr="005E578C">
        <w:t xml:space="preserve"> </w:t>
      </w:r>
      <w:r w:rsidR="00446EA9">
        <w:t>both</w:t>
      </w:r>
      <w:r w:rsidRPr="005E578C">
        <w:t xml:space="preserve"> the full data set and </w:t>
      </w:r>
      <w:r w:rsidR="00446EA9">
        <w:t>to</w:t>
      </w:r>
      <w:r w:rsidRPr="005E578C">
        <w:t xml:space="preserve"> subsets split by parameter or by material/process. An extended cross</w:t>
      </w:r>
      <w:r w:rsidR="0087787E">
        <w:t>-</w:t>
      </w:r>
      <w:r w:rsidRPr="005E578C">
        <w:t>validation scheme, including hyperparameter tuning for GLMNET and Random Forest, was used to assess robustness; aggregated performance metrics and importance tables were reported for all folds.</w:t>
      </w:r>
    </w:p>
    <w:p w14:paraId="2F2049C8" w14:textId="1DD6604D" w:rsidR="005E578C" w:rsidRDefault="0087787E" w:rsidP="005E578C">
      <w:r>
        <w:t xml:space="preserve">Across materials and parameters, the results show that the choice of optical system is usually the main factor influencing the error, with </w:t>
      </w:r>
      <w:proofErr w:type="spellStart"/>
      <w:r>
        <w:t>colour</w:t>
      </w:r>
      <w:proofErr w:type="spellEnd"/>
      <w:r>
        <w:t xml:space="preserve"> having a secondary but sometimes significant impact. Eta-squared values for the system factor are often larger than those for </w:t>
      </w:r>
      <w:proofErr w:type="spellStart"/>
      <w:r>
        <w:t>colour</w:t>
      </w:r>
      <w:proofErr w:type="spellEnd"/>
      <w:r>
        <w:t xml:space="preserve">, and the best system for a particular parameter/material combination often achieves considerably lower mean |diff| (%) than the worst one. However, for several materials and parameters, the analyses also reveal statistically significant slopes of |diff| (%) </w:t>
      </w:r>
      <w:r w:rsidR="00446EA9">
        <w:t>with respect to</w:t>
      </w:r>
      <w:r>
        <w:t xml:space="preserve"> wavelength in at least one system, indicating that wavelength-related effects cannot be ignored. Figure 3 illustrates such a case, showing how |diff| (%) depends on wavelength and the related slopes for each system. The parameter-specific summaries show that some roughness metrics display more frequent and stronger wavelength dependence than others, and that the maximum eta-squared values for system and </w:t>
      </w:r>
      <w:proofErr w:type="spellStart"/>
      <w:r>
        <w:t>colour</w:t>
      </w:r>
      <w:proofErr w:type="spellEnd"/>
      <w:r>
        <w:t xml:space="preserve"> vary systematically across parameters. The machine-learning models support these findings: in both global and parameter-specific settings, system indicators consistently rank among the most important predictors of error, with </w:t>
      </w:r>
      <w:proofErr w:type="spellStart"/>
      <w:r>
        <w:t>colour</w:t>
      </w:r>
      <w:proofErr w:type="spellEnd"/>
      <w:r>
        <w:t xml:space="preserve"> and, to a lesser extent, material or process also playing significant roles. The advanced cross-validation confirms that these importance rankings remain stable when resampling.</w:t>
      </w:r>
    </w:p>
    <w:p w14:paraId="33671850" w14:textId="4B998497" w:rsidR="005E578C" w:rsidRDefault="0087787E" w:rsidP="005E578C">
      <w:r>
        <w:t xml:space="preserve">From an application perspective, the combined evidence enables the development of synthetic recommendations. For each material and parameter, the report identifies the system with the lowest mean absolute percentage error, the most </w:t>
      </w:r>
      <w:proofErr w:type="spellStart"/>
      <w:r>
        <w:t>favourable</w:t>
      </w:r>
      <w:proofErr w:type="spellEnd"/>
      <w:r>
        <w:t xml:space="preserve"> </w:t>
      </w:r>
      <w:proofErr w:type="spellStart"/>
      <w:r>
        <w:t>colour</w:t>
      </w:r>
      <w:proofErr w:type="spellEnd"/>
      <w:r>
        <w:t xml:space="preserve"> channel, and – where available – the optimal system–</w:t>
      </w:r>
      <w:proofErr w:type="spellStart"/>
      <w:r>
        <w:t>colour</w:t>
      </w:r>
      <w:proofErr w:type="spellEnd"/>
      <w:r>
        <w:t xml:space="preserve"> pair. Qualitative trend descriptions </w:t>
      </w:r>
      <w:proofErr w:type="spellStart"/>
      <w:r>
        <w:t>summarise</w:t>
      </w:r>
      <w:proofErr w:type="spellEnd"/>
      <w:r>
        <w:t xml:space="preserve"> whether error tends to increase or decrease with wavelength for the most informative system, and whether other systems exhibit weaker but noteworthy tendencies. A representative technical distance heatmap (</w:t>
      </w:r>
      <w:r w:rsidR="00683361">
        <w:t xml:space="preserve">see </w:t>
      </w:r>
      <w:r w:rsidR="00683361">
        <w:fldChar w:fldCharType="begin"/>
      </w:r>
      <w:r w:rsidR="00683361">
        <w:instrText xml:space="preserve"> REF _Ref215651759 \h </w:instrText>
      </w:r>
      <w:r w:rsidR="00683361">
        <w:fldChar w:fldCharType="separate"/>
      </w:r>
      <w:r w:rsidR="00683361">
        <w:t xml:space="preserve">Figure </w:t>
      </w:r>
      <w:r w:rsidR="00683361">
        <w:rPr>
          <w:noProof/>
        </w:rPr>
        <w:t>4</w:t>
      </w:r>
      <w:r w:rsidR="00683361">
        <w:fldChar w:fldCharType="end"/>
      </w:r>
      <w:r>
        <w:t>) reveals clusters of similar systems a</w:t>
      </w:r>
      <w:r w:rsidR="00683361">
        <w:t>nd</w:t>
      </w:r>
      <w:r>
        <w:t xml:space="preserve"> clear outliers, supporting practical </w:t>
      </w:r>
      <w:r w:rsidR="00683361">
        <w:t>configuration</w:t>
      </w:r>
      <w:r>
        <w:t xml:space="preserve"> </w:t>
      </w:r>
      <w:r w:rsidR="00683361">
        <w:t>grouping</w:t>
      </w:r>
      <w:r>
        <w:t xml:space="preserve"> and identif</w:t>
      </w:r>
      <w:r w:rsidR="00683361">
        <w:t>ying</w:t>
      </w:r>
      <w:r>
        <w:t xml:space="preserve"> those requiring special attention.</w:t>
      </w:r>
    </w:p>
    <w:p w14:paraId="6B9810B2" w14:textId="0EFB70D7" w:rsidR="005E578C" w:rsidRPr="005E578C" w:rsidRDefault="0087787E" w:rsidP="005E578C">
      <w:r>
        <w:lastRenderedPageBreak/>
        <w:t xml:space="preserve">In summary, the study shows that, for many combinations of roughness parameter and material or process, carefully chosen optical systems can achieve errors that are small and stable enough to act as practical substitutes for tactile measurements. However, the strong influence of system choice, the significant role of </w:t>
      </w:r>
      <w:proofErr w:type="spellStart"/>
      <w:r>
        <w:t>colour</w:t>
      </w:r>
      <w:proofErr w:type="spellEnd"/>
      <w:r>
        <w:t xml:space="preserve">, and the presence of notable wavelength trends in several settings highlight the need for system- and parameter-specific validation rather than assuming uniform </w:t>
      </w:r>
      <w:proofErr w:type="spellStart"/>
      <w:r>
        <w:t>behaviour</w:t>
      </w:r>
      <w:proofErr w:type="spellEnd"/>
      <w:r>
        <w:t xml:space="preserve"> across different configurations. The combined use of ANOVA, regression, “technical distance” mapping, and machine learning importance analysis offers a comprehensive framework for such validation and for developing evidence-based recommendations for industrial metrology practice.</w:t>
      </w:r>
    </w:p>
    <w:p w14:paraId="3CDEB8AD" w14:textId="2EB8ACE7" w:rsidR="00D9564B" w:rsidRDefault="00D9564B" w:rsidP="00CC06A3">
      <w:pPr>
        <w:ind w:firstLine="0"/>
      </w:pPr>
    </w:p>
    <w:p w14:paraId="0A262808" w14:textId="77777777" w:rsidR="00CC06A3" w:rsidRDefault="00CC06A3" w:rsidP="00CC06A3">
      <w:pPr>
        <w:keepNext/>
        <w:ind w:firstLine="0"/>
        <w:sectPr w:rsidR="00CC06A3" w:rsidSect="009F7FCE">
          <w:headerReference w:type="even" r:id="rId8"/>
          <w:headerReference w:type="default" r:id="rId9"/>
          <w:pgSz w:w="11906" w:h="16838" w:code="9"/>
          <w:pgMar w:top="2948" w:right="2494" w:bottom="2948" w:left="2494" w:header="2381" w:footer="2324" w:gutter="0"/>
          <w:cols w:space="227"/>
          <w:titlePg/>
          <w:docGrid w:linePitch="240"/>
        </w:sectPr>
      </w:pPr>
    </w:p>
    <w:p w14:paraId="1ADEDFF2" w14:textId="77777777" w:rsidR="00CC06A3" w:rsidRDefault="00CC06A3" w:rsidP="00CC06A3">
      <w:pPr>
        <w:keepNext/>
        <w:ind w:firstLine="0"/>
      </w:pPr>
      <w:r>
        <w:rPr>
          <w:noProof/>
        </w:rPr>
        <w:drawing>
          <wp:inline distT="0" distB="0" distL="0" distR="0" wp14:anchorId="63617666" wp14:editId="310E1D1E">
            <wp:extent cx="1764153" cy="1260000"/>
            <wp:effectExtent l="0" t="0" r="1270" b="0"/>
            <wp:docPr id="11074921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92168" name="Obraz 1107492168"/>
                    <pic:cNvPicPr/>
                  </pic:nvPicPr>
                  <pic:blipFill>
                    <a:blip r:embed="rId10"/>
                    <a:stretch>
                      <a:fillRect/>
                    </a:stretch>
                  </pic:blipFill>
                  <pic:spPr>
                    <a:xfrm>
                      <a:off x="0" y="0"/>
                      <a:ext cx="1764153" cy="1260000"/>
                    </a:xfrm>
                    <a:prstGeom prst="rect">
                      <a:avLst/>
                    </a:prstGeom>
                  </pic:spPr>
                </pic:pic>
              </a:graphicData>
            </a:graphic>
          </wp:inline>
        </w:drawing>
      </w:r>
    </w:p>
    <w:p w14:paraId="4C062361" w14:textId="77906BE0" w:rsidR="00CC06A3" w:rsidRDefault="00CC06A3" w:rsidP="00E9237D">
      <w:pPr>
        <w:pStyle w:val="Legenda"/>
        <w:ind w:firstLine="0"/>
      </w:pPr>
      <w:bookmarkStart w:id="0" w:name="_Ref215651600"/>
      <w:r>
        <w:t xml:space="preserve">Figure </w:t>
      </w:r>
      <w:fldSimple w:instr=" SEQ Figure \* ARABIC ">
        <w:r>
          <w:rPr>
            <w:noProof/>
          </w:rPr>
          <w:t>1</w:t>
        </w:r>
      </w:fldSimple>
      <w:bookmarkEnd w:id="0"/>
      <w:r>
        <w:t xml:space="preserve">. </w:t>
      </w:r>
      <w:r w:rsidRPr="001B5FE7">
        <w:t>Main effects of measurement system on absolute roughness error |diff| (%) for Ra on Ti6Al4V after micro‑finishing.</w:t>
      </w:r>
    </w:p>
    <w:p w14:paraId="136E8652" w14:textId="77777777" w:rsidR="00CC06A3" w:rsidRDefault="00CC06A3" w:rsidP="00727319">
      <w:pPr>
        <w:keepNext/>
        <w:ind w:firstLine="0"/>
      </w:pPr>
      <w:r>
        <w:rPr>
          <w:noProof/>
        </w:rPr>
        <w:drawing>
          <wp:inline distT="0" distB="0" distL="0" distR="0" wp14:anchorId="66AD128A" wp14:editId="4F0AAE3A">
            <wp:extent cx="2310279" cy="1260000"/>
            <wp:effectExtent l="0" t="0" r="0" b="0"/>
            <wp:docPr id="21768524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85244" name="Obraz 217685244"/>
                    <pic:cNvPicPr/>
                  </pic:nvPicPr>
                  <pic:blipFill>
                    <a:blip r:embed="rId11"/>
                    <a:stretch>
                      <a:fillRect/>
                    </a:stretch>
                  </pic:blipFill>
                  <pic:spPr>
                    <a:xfrm>
                      <a:off x="0" y="0"/>
                      <a:ext cx="2310279" cy="1260000"/>
                    </a:xfrm>
                    <a:prstGeom prst="rect">
                      <a:avLst/>
                    </a:prstGeom>
                  </pic:spPr>
                </pic:pic>
              </a:graphicData>
            </a:graphic>
          </wp:inline>
        </w:drawing>
      </w:r>
    </w:p>
    <w:p w14:paraId="5A6CDEC4" w14:textId="1627F700" w:rsidR="00CC06A3" w:rsidRDefault="00CC06A3" w:rsidP="00E9237D">
      <w:pPr>
        <w:pStyle w:val="Legenda"/>
        <w:ind w:firstLine="0"/>
      </w:pPr>
      <w:r>
        <w:t xml:space="preserve">Figure </w:t>
      </w:r>
      <w:fldSimple w:instr=" SEQ Figure \* ARABIC ">
        <w:r>
          <w:rPr>
            <w:noProof/>
          </w:rPr>
          <w:t>2</w:t>
        </w:r>
      </w:fldSimple>
      <w:r>
        <w:t xml:space="preserve">. </w:t>
      </w:r>
      <w:r w:rsidRPr="00354583">
        <w:t>Comparison of |diff| (%) for Ra on Ti6Al4V after micro‑finishing obtained from optical systems versus the tactile reference.</w:t>
      </w:r>
    </w:p>
    <w:p w14:paraId="74DA74E6" w14:textId="77777777" w:rsidR="00CC06A3" w:rsidRDefault="00CC06A3" w:rsidP="00CC06A3">
      <w:pPr>
        <w:keepNext/>
        <w:sectPr w:rsidR="00CC06A3" w:rsidSect="00CC06A3">
          <w:type w:val="continuous"/>
          <w:pgSz w:w="11906" w:h="16838" w:code="9"/>
          <w:pgMar w:top="2948" w:right="2494" w:bottom="2948" w:left="2494" w:header="2381" w:footer="2324" w:gutter="0"/>
          <w:cols w:num="2" w:space="227"/>
          <w:titlePg/>
          <w:docGrid w:linePitch="240"/>
        </w:sectPr>
      </w:pPr>
    </w:p>
    <w:p w14:paraId="7FCE903A" w14:textId="77777777" w:rsidR="00CC06A3" w:rsidRDefault="00CC06A3" w:rsidP="00CC06A3">
      <w:pPr>
        <w:keepNext/>
      </w:pPr>
      <w:r>
        <w:rPr>
          <w:noProof/>
        </w:rPr>
        <w:drawing>
          <wp:inline distT="0" distB="0" distL="0" distR="0" wp14:anchorId="21374104" wp14:editId="03EE9C21">
            <wp:extent cx="1764153" cy="1260000"/>
            <wp:effectExtent l="0" t="0" r="1270" b="0"/>
            <wp:docPr id="26486019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0197" name="Obraz 264860197"/>
                    <pic:cNvPicPr/>
                  </pic:nvPicPr>
                  <pic:blipFill>
                    <a:blip r:embed="rId12"/>
                    <a:stretch>
                      <a:fillRect/>
                    </a:stretch>
                  </pic:blipFill>
                  <pic:spPr>
                    <a:xfrm>
                      <a:off x="0" y="0"/>
                      <a:ext cx="1764153" cy="1260000"/>
                    </a:xfrm>
                    <a:prstGeom prst="rect">
                      <a:avLst/>
                    </a:prstGeom>
                  </pic:spPr>
                </pic:pic>
              </a:graphicData>
            </a:graphic>
          </wp:inline>
        </w:drawing>
      </w:r>
    </w:p>
    <w:p w14:paraId="52878B82" w14:textId="5E3A5138" w:rsidR="00CC06A3" w:rsidRDefault="00CC06A3" w:rsidP="00E9237D">
      <w:pPr>
        <w:pStyle w:val="Legenda"/>
        <w:ind w:firstLine="0"/>
      </w:pPr>
      <w:r>
        <w:t xml:space="preserve">Figure </w:t>
      </w:r>
      <w:fldSimple w:instr=" SEQ Figure \* ARABIC ">
        <w:r>
          <w:rPr>
            <w:noProof/>
          </w:rPr>
          <w:t>3</w:t>
        </w:r>
      </w:fldSimple>
      <w:r>
        <w:t xml:space="preserve">. </w:t>
      </w:r>
      <w:r w:rsidRPr="003E1797">
        <w:t>Dependence of absolute roughness error |diff| (%) for Ra on Ti6Al4V after micro‑finishing on the illumination wavelength for individual optical systems</w:t>
      </w:r>
    </w:p>
    <w:p w14:paraId="4D9B7F2C" w14:textId="77777777" w:rsidR="00CC06A3" w:rsidRDefault="00CC06A3" w:rsidP="00CC06A3"/>
    <w:p w14:paraId="0BBFC9D3" w14:textId="77777777" w:rsidR="00CC06A3" w:rsidRDefault="00CC06A3" w:rsidP="00CC06A3">
      <w:pPr>
        <w:keepNext/>
        <w:jc w:val="center"/>
      </w:pPr>
      <w:r>
        <w:rPr>
          <w:noProof/>
        </w:rPr>
        <w:drawing>
          <wp:inline distT="0" distB="0" distL="0" distR="0" wp14:anchorId="3191B707" wp14:editId="529C0396">
            <wp:extent cx="1440059" cy="1260000"/>
            <wp:effectExtent l="0" t="0" r="0" b="0"/>
            <wp:docPr id="210299120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91200" name="Obraz 2102991200"/>
                    <pic:cNvPicPr/>
                  </pic:nvPicPr>
                  <pic:blipFill>
                    <a:blip r:embed="rId13"/>
                    <a:stretch>
                      <a:fillRect/>
                    </a:stretch>
                  </pic:blipFill>
                  <pic:spPr>
                    <a:xfrm>
                      <a:off x="0" y="0"/>
                      <a:ext cx="1440059" cy="1260000"/>
                    </a:xfrm>
                    <a:prstGeom prst="rect">
                      <a:avLst/>
                    </a:prstGeom>
                  </pic:spPr>
                </pic:pic>
              </a:graphicData>
            </a:graphic>
          </wp:inline>
        </w:drawing>
      </w:r>
    </w:p>
    <w:p w14:paraId="5188AC90" w14:textId="5765E231" w:rsidR="00CC06A3" w:rsidRPr="00CC06A3" w:rsidRDefault="00CC06A3" w:rsidP="00E9237D">
      <w:pPr>
        <w:pStyle w:val="Legenda"/>
        <w:ind w:firstLine="0"/>
      </w:pPr>
      <w:bookmarkStart w:id="1" w:name="_Ref215651759"/>
      <w:r>
        <w:t xml:space="preserve">Figure </w:t>
      </w:r>
      <w:fldSimple w:instr=" SEQ Figure \* ARABIC ">
        <w:r>
          <w:rPr>
            <w:noProof/>
          </w:rPr>
          <w:t>4</w:t>
        </w:r>
      </w:fldSimple>
      <w:bookmarkEnd w:id="1"/>
      <w:r>
        <w:t xml:space="preserve">. </w:t>
      </w:r>
      <w:r w:rsidRPr="006B73DA">
        <w:t>Technical distance matrix between optical and tactile systems for Ra on Ti6Al4V after micro‑finishing, based on mean absolute roughness error |diff| (%)</w:t>
      </w:r>
    </w:p>
    <w:sectPr w:rsidR="00CC06A3" w:rsidRPr="00CC06A3" w:rsidSect="00CC06A3">
      <w:type w:val="continuous"/>
      <w:pgSz w:w="11906" w:h="16838" w:code="9"/>
      <w:pgMar w:top="2948" w:right="2494" w:bottom="2948" w:left="2494" w:header="2381" w:footer="2324" w:gutter="0"/>
      <w:cols w:num="2"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B6FEF" w14:textId="77777777" w:rsidR="003F2597" w:rsidRDefault="003F2597">
      <w:r>
        <w:separator/>
      </w:r>
    </w:p>
  </w:endnote>
  <w:endnote w:type="continuationSeparator" w:id="0">
    <w:p w14:paraId="2276A771" w14:textId="77777777" w:rsidR="003F2597" w:rsidRDefault="003F2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aco">
    <w:panose1 w:val="00000000000000000000"/>
    <w:charset w:val="00"/>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76A0" w14:textId="77777777" w:rsidR="003F2597" w:rsidRDefault="003F2597" w:rsidP="009F7FCE">
      <w:pPr>
        <w:ind w:firstLine="0"/>
      </w:pPr>
      <w:r>
        <w:separator/>
      </w:r>
    </w:p>
  </w:footnote>
  <w:footnote w:type="continuationSeparator" w:id="0">
    <w:p w14:paraId="6FDBA0D9" w14:textId="77777777" w:rsidR="003F2597" w:rsidRDefault="003F2597"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5834" w14:textId="77777777" w:rsidR="009B2539" w:rsidRDefault="004D1FE9" w:rsidP="00F321B4">
    <w:pPr>
      <w:pStyle w:val="Nagwek"/>
    </w:pPr>
    <w:r>
      <w:fldChar w:fldCharType="begin"/>
    </w:r>
    <w:r w:rsidR="009B2539">
      <w:instrText>PAGE   \* MERGEFORMAT</w:instrText>
    </w:r>
    <w:r>
      <w:fldChar w:fldCharType="separate"/>
    </w:r>
    <w:r w:rsidR="007B6B1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7E52" w14:textId="77777777" w:rsidR="002D48C5" w:rsidRDefault="004D1FE9" w:rsidP="002D48C5">
    <w:pPr>
      <w:pStyle w:val="Nagwek"/>
      <w:jc w:val="right"/>
    </w:pPr>
    <w:r>
      <w:fldChar w:fldCharType="begin"/>
    </w:r>
    <w:r w:rsidR="002D48C5">
      <w:instrText>PAGE   \* MERGEFORMAT</w:instrText>
    </w:r>
    <w:r>
      <w:fldChar w:fldCharType="separate"/>
    </w:r>
    <w:r w:rsidR="007B6B19">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2694"/>
        </w:tabs>
        <w:ind w:left="2694"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396708889">
    <w:abstractNumId w:val="0"/>
  </w:num>
  <w:num w:numId="2" w16cid:durableId="2032339380">
    <w:abstractNumId w:val="0"/>
  </w:num>
  <w:num w:numId="3" w16cid:durableId="301159084">
    <w:abstractNumId w:val="1"/>
  </w:num>
  <w:num w:numId="4" w16cid:durableId="1673296410">
    <w:abstractNumId w:val="1"/>
  </w:num>
  <w:num w:numId="5" w16cid:durableId="802188706">
    <w:abstractNumId w:val="3"/>
  </w:num>
  <w:num w:numId="6" w16cid:durableId="752320345">
    <w:abstractNumId w:val="3"/>
  </w:num>
  <w:num w:numId="7" w16cid:durableId="254018805">
    <w:abstractNumId w:val="2"/>
  </w:num>
  <w:num w:numId="8" w16cid:durableId="141776101">
    <w:abstractNumId w:val="4"/>
  </w:num>
  <w:num w:numId="9" w16cid:durableId="976109805">
    <w:abstractNumId w:val="4"/>
  </w:num>
  <w:num w:numId="10" w16cid:durableId="117310754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8"/>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103492"/>
    <w:rsid w:val="001A02F0"/>
    <w:rsid w:val="001A35AC"/>
    <w:rsid w:val="001A667B"/>
    <w:rsid w:val="00266EC3"/>
    <w:rsid w:val="002D48C5"/>
    <w:rsid w:val="0033370F"/>
    <w:rsid w:val="003714D6"/>
    <w:rsid w:val="003F2597"/>
    <w:rsid w:val="003F709C"/>
    <w:rsid w:val="00424995"/>
    <w:rsid w:val="00442568"/>
    <w:rsid w:val="00446EA9"/>
    <w:rsid w:val="004A31DB"/>
    <w:rsid w:val="004B29FE"/>
    <w:rsid w:val="004D1FE9"/>
    <w:rsid w:val="004D7745"/>
    <w:rsid w:val="00556671"/>
    <w:rsid w:val="005652DC"/>
    <w:rsid w:val="00575E9C"/>
    <w:rsid w:val="005E578C"/>
    <w:rsid w:val="00636436"/>
    <w:rsid w:val="00683361"/>
    <w:rsid w:val="006E26BE"/>
    <w:rsid w:val="00727319"/>
    <w:rsid w:val="007A25DE"/>
    <w:rsid w:val="007A77CD"/>
    <w:rsid w:val="007B3142"/>
    <w:rsid w:val="007B6B19"/>
    <w:rsid w:val="007B7AFC"/>
    <w:rsid w:val="0087787E"/>
    <w:rsid w:val="00892704"/>
    <w:rsid w:val="008B0402"/>
    <w:rsid w:val="008F2D4C"/>
    <w:rsid w:val="009660B4"/>
    <w:rsid w:val="009930E4"/>
    <w:rsid w:val="009B2539"/>
    <w:rsid w:val="009E1381"/>
    <w:rsid w:val="009E3CDC"/>
    <w:rsid w:val="009F7FCE"/>
    <w:rsid w:val="00A24D81"/>
    <w:rsid w:val="00B23481"/>
    <w:rsid w:val="00CC06A3"/>
    <w:rsid w:val="00D146FF"/>
    <w:rsid w:val="00D256BF"/>
    <w:rsid w:val="00D34F96"/>
    <w:rsid w:val="00D9564B"/>
    <w:rsid w:val="00DA3BBE"/>
    <w:rsid w:val="00DC2CA9"/>
    <w:rsid w:val="00DE2A38"/>
    <w:rsid w:val="00E603C7"/>
    <w:rsid w:val="00E9237D"/>
    <w:rsid w:val="00EB34CF"/>
    <w:rsid w:val="00F26CB8"/>
    <w:rsid w:val="00F321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BD19A"/>
  <w15:docId w15:val="{4FEF4083-A99D-4673-92DD-9DDB813D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CE7667"/>
    <w:pPr>
      <w:overflowPunct w:val="0"/>
      <w:autoSpaceDE w:val="0"/>
      <w:autoSpaceDN w:val="0"/>
      <w:adjustRightInd w:val="0"/>
      <w:ind w:firstLine="227"/>
      <w:jc w:val="both"/>
      <w:textAlignment w:val="baseline"/>
    </w:pPr>
  </w:style>
  <w:style w:type="paragraph" w:styleId="Nagwek1">
    <w:name w:val="heading 1"/>
    <w:basedOn w:val="Normalny"/>
    <w:next w:val="p1a"/>
    <w:semiHidden/>
    <w:unhideWhenUsed/>
    <w:qFormat/>
    <w:rsid w:val="00DE2A38"/>
    <w:pPr>
      <w:keepNext/>
      <w:keepLines/>
      <w:suppressAutoHyphens/>
      <w:spacing w:before="360" w:after="240" w:line="300" w:lineRule="atLeast"/>
      <w:ind w:left="567" w:hanging="567"/>
      <w:jc w:val="left"/>
      <w:outlineLvl w:val="0"/>
    </w:pPr>
    <w:rPr>
      <w:b/>
      <w:sz w:val="24"/>
    </w:rPr>
  </w:style>
  <w:style w:type="paragraph" w:styleId="Nagwek2">
    <w:name w:val="heading 2"/>
    <w:basedOn w:val="Normalny"/>
    <w:next w:val="p1a"/>
    <w:semiHidden/>
    <w:unhideWhenUsed/>
    <w:qFormat/>
    <w:rsid w:val="00DE2A38"/>
    <w:pPr>
      <w:keepNext/>
      <w:keepLines/>
      <w:suppressAutoHyphens/>
      <w:spacing w:before="360" w:after="160"/>
      <w:ind w:left="567" w:hanging="567"/>
      <w:jc w:val="left"/>
      <w:outlineLvl w:val="1"/>
    </w:pPr>
    <w:rPr>
      <w:b/>
    </w:rPr>
  </w:style>
  <w:style w:type="paragraph" w:styleId="Nagwek3">
    <w:name w:val="heading 3"/>
    <w:basedOn w:val="Normalny"/>
    <w:next w:val="Normalny"/>
    <w:qFormat/>
    <w:rsid w:val="00DE2A38"/>
    <w:pPr>
      <w:spacing w:before="360"/>
      <w:ind w:firstLine="0"/>
      <w:outlineLvl w:val="2"/>
    </w:pPr>
  </w:style>
  <w:style w:type="paragraph" w:styleId="Nagwek4">
    <w:name w:val="heading 4"/>
    <w:basedOn w:val="Normalny"/>
    <w:next w:val="Normalny"/>
    <w:qFormat/>
    <w:rsid w:val="00DE2A38"/>
    <w:pPr>
      <w:spacing w:before="240"/>
      <w:ind w:firstLine="0"/>
      <w:outlineLvl w:val="3"/>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bstract">
    <w:name w:val="abstract"/>
    <w:basedOn w:val="Normalny"/>
    <w:rsid w:val="00DE2A38"/>
    <w:pPr>
      <w:spacing w:before="600" w:after="360" w:line="220" w:lineRule="atLeast"/>
      <w:ind w:left="567" w:right="567"/>
      <w:contextualSpacing/>
    </w:pPr>
    <w:rPr>
      <w:sz w:val="18"/>
    </w:rPr>
  </w:style>
  <w:style w:type="paragraph" w:customStyle="1" w:styleId="address">
    <w:name w:val="address"/>
    <w:basedOn w:val="Normalny"/>
    <w:rsid w:val="00DE2A38"/>
    <w:pPr>
      <w:spacing w:after="200" w:line="220" w:lineRule="atLeast"/>
      <w:ind w:firstLine="0"/>
      <w:contextualSpacing/>
      <w:jc w:val="center"/>
    </w:pPr>
    <w:rPr>
      <w:sz w:val="18"/>
    </w:rPr>
  </w:style>
  <w:style w:type="numbering" w:customStyle="1" w:styleId="arabnumitem">
    <w:name w:val="arabnumitem"/>
    <w:basedOn w:val="Bezlisty"/>
    <w:rsid w:val="00DE2A38"/>
    <w:pPr>
      <w:numPr>
        <w:numId w:val="5"/>
      </w:numPr>
    </w:pPr>
  </w:style>
  <w:style w:type="paragraph" w:customStyle="1" w:styleId="author">
    <w:name w:val="author"/>
    <w:basedOn w:val="Normalny"/>
    <w:next w:val="address"/>
    <w:rsid w:val="00DE2A38"/>
    <w:pPr>
      <w:spacing w:after="200" w:line="220" w:lineRule="atLeast"/>
      <w:ind w:firstLine="0"/>
      <w:jc w:val="center"/>
    </w:pPr>
  </w:style>
  <w:style w:type="paragraph" w:customStyle="1" w:styleId="bulletitem">
    <w:name w:val="bulletitem"/>
    <w:basedOn w:val="Normalny"/>
    <w:rsid w:val="00DE2A38"/>
    <w:pPr>
      <w:numPr>
        <w:numId w:val="2"/>
      </w:numPr>
      <w:spacing w:before="160" w:after="160"/>
      <w:contextualSpacing/>
    </w:pPr>
  </w:style>
  <w:style w:type="paragraph" w:customStyle="1" w:styleId="dashitem">
    <w:name w:val="dashitem"/>
    <w:basedOn w:val="Normalny"/>
    <w:rsid w:val="00DE2A38"/>
    <w:pPr>
      <w:numPr>
        <w:numId w:val="4"/>
      </w:numPr>
      <w:spacing w:before="160" w:after="160"/>
      <w:contextualSpacing/>
    </w:pPr>
  </w:style>
  <w:style w:type="character" w:customStyle="1" w:styleId="e-mail">
    <w:name w:val="e-mail"/>
    <w:basedOn w:val="Domylnaczcionkaakapitu"/>
    <w:rsid w:val="00DE2A38"/>
    <w:rPr>
      <w:rFonts w:ascii="Courier" w:hAnsi="Courier"/>
      <w:noProof/>
    </w:rPr>
  </w:style>
  <w:style w:type="paragraph" w:customStyle="1" w:styleId="equation">
    <w:name w:val="equation"/>
    <w:basedOn w:val="Normalny"/>
    <w:next w:val="Normalny"/>
    <w:rsid w:val="00DE2A38"/>
    <w:pPr>
      <w:tabs>
        <w:tab w:val="center" w:pos="3289"/>
        <w:tab w:val="right" w:pos="6917"/>
      </w:tabs>
      <w:spacing w:before="160" w:after="160"/>
      <w:ind w:firstLine="0"/>
    </w:pPr>
  </w:style>
  <w:style w:type="paragraph" w:customStyle="1" w:styleId="figurecaption">
    <w:name w:val="figurecaption"/>
    <w:basedOn w:val="Normalny"/>
    <w:next w:val="Normalny"/>
    <w:rsid w:val="00DE2A38"/>
    <w:pPr>
      <w:keepLines/>
      <w:spacing w:before="120" w:after="240" w:line="220" w:lineRule="atLeast"/>
      <w:ind w:firstLine="0"/>
      <w:jc w:val="center"/>
    </w:pPr>
    <w:rPr>
      <w:sz w:val="18"/>
    </w:rPr>
  </w:style>
  <w:style w:type="character" w:styleId="Odwoanieprzypisudolnego">
    <w:name w:val="footnote reference"/>
    <w:basedOn w:val="Domylnaczcionkaakapitu"/>
    <w:semiHidden/>
    <w:unhideWhenUsed/>
    <w:rsid w:val="00DE2A38"/>
    <w:rPr>
      <w:position w:val="0"/>
      <w:vertAlign w:val="superscript"/>
    </w:rPr>
  </w:style>
  <w:style w:type="paragraph" w:styleId="Stopka">
    <w:name w:val="footer"/>
    <w:basedOn w:val="Normalny"/>
    <w:semiHidden/>
    <w:unhideWhenUsed/>
    <w:rsid w:val="00DE2A38"/>
  </w:style>
  <w:style w:type="paragraph" w:customStyle="1" w:styleId="heading1">
    <w:name w:val="heading1"/>
    <w:basedOn w:val="Normalny"/>
    <w:next w:val="p1a"/>
    <w:qFormat/>
    <w:rsid w:val="00DE2A38"/>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ny"/>
    <w:next w:val="p1a"/>
    <w:qFormat/>
    <w:rsid w:val="00DE2A38"/>
    <w:pPr>
      <w:keepNext/>
      <w:keepLines/>
      <w:numPr>
        <w:ilvl w:val="1"/>
        <w:numId w:val="7"/>
      </w:numPr>
      <w:suppressAutoHyphens/>
      <w:spacing w:before="360" w:after="160"/>
      <w:jc w:val="left"/>
      <w:outlineLvl w:val="1"/>
    </w:pPr>
    <w:rPr>
      <w:b/>
    </w:rPr>
  </w:style>
  <w:style w:type="character" w:customStyle="1" w:styleId="heading3">
    <w:name w:val="heading3"/>
    <w:basedOn w:val="Domylnaczcionkaakapitu"/>
    <w:rsid w:val="00DE2A38"/>
    <w:rPr>
      <w:b/>
    </w:rPr>
  </w:style>
  <w:style w:type="character" w:customStyle="1" w:styleId="heading4">
    <w:name w:val="heading4"/>
    <w:basedOn w:val="Domylnaczcionkaakapitu"/>
    <w:rsid w:val="00DE2A38"/>
    <w:rPr>
      <w:i/>
    </w:rPr>
  </w:style>
  <w:style w:type="numbering" w:customStyle="1" w:styleId="headings">
    <w:name w:val="headings"/>
    <w:basedOn w:val="arabnumitem"/>
    <w:rsid w:val="00DE2A38"/>
    <w:pPr>
      <w:numPr>
        <w:numId w:val="7"/>
      </w:numPr>
    </w:pPr>
  </w:style>
  <w:style w:type="character" w:styleId="Hipercze">
    <w:name w:val="Hyperlink"/>
    <w:basedOn w:val="Domylnaczcionkaakapitu"/>
    <w:unhideWhenUsed/>
    <w:rsid w:val="00DE2A38"/>
    <w:rPr>
      <w:color w:val="auto"/>
      <w:u w:val="none"/>
    </w:rPr>
  </w:style>
  <w:style w:type="paragraph" w:customStyle="1" w:styleId="image">
    <w:name w:val="image"/>
    <w:basedOn w:val="Normalny"/>
    <w:next w:val="Normalny"/>
    <w:rsid w:val="00DE2A38"/>
    <w:pPr>
      <w:spacing w:before="240" w:after="120"/>
      <w:ind w:firstLine="0"/>
      <w:jc w:val="center"/>
    </w:pPr>
  </w:style>
  <w:style w:type="numbering" w:customStyle="1" w:styleId="itemization1">
    <w:name w:val="itemization1"/>
    <w:basedOn w:val="Bezlisty"/>
    <w:rsid w:val="00DE2A38"/>
    <w:pPr>
      <w:numPr>
        <w:numId w:val="1"/>
      </w:numPr>
    </w:pPr>
  </w:style>
  <w:style w:type="numbering" w:customStyle="1" w:styleId="itemization2">
    <w:name w:val="itemization2"/>
    <w:basedOn w:val="Bezlisty"/>
    <w:rsid w:val="00DE2A38"/>
    <w:pPr>
      <w:numPr>
        <w:numId w:val="3"/>
      </w:numPr>
    </w:pPr>
  </w:style>
  <w:style w:type="paragraph" w:customStyle="1" w:styleId="keywords">
    <w:name w:val="keywords"/>
    <w:basedOn w:val="abstract"/>
    <w:next w:val="heading1"/>
    <w:rsid w:val="00DE2A38"/>
    <w:pPr>
      <w:spacing w:before="220"/>
      <w:ind w:firstLine="0"/>
      <w:contextualSpacing w:val="0"/>
      <w:jc w:val="left"/>
    </w:pPr>
  </w:style>
  <w:style w:type="paragraph" w:styleId="Nagwek">
    <w:name w:val="header"/>
    <w:basedOn w:val="Normalny"/>
    <w:semiHidden/>
    <w:unhideWhenUsed/>
    <w:rsid w:val="00DE2A38"/>
    <w:pPr>
      <w:tabs>
        <w:tab w:val="center" w:pos="4536"/>
        <w:tab w:val="right" w:pos="9072"/>
      </w:tabs>
      <w:ind w:firstLine="0"/>
    </w:pPr>
    <w:rPr>
      <w:sz w:val="18"/>
      <w:szCs w:val="18"/>
    </w:rPr>
  </w:style>
  <w:style w:type="paragraph" w:customStyle="1" w:styleId="numitem">
    <w:name w:val="numitem"/>
    <w:basedOn w:val="Normalny"/>
    <w:rsid w:val="00DE2A38"/>
    <w:pPr>
      <w:numPr>
        <w:numId w:val="6"/>
      </w:numPr>
      <w:spacing w:before="160" w:after="160"/>
      <w:contextualSpacing/>
    </w:pPr>
  </w:style>
  <w:style w:type="paragraph" w:customStyle="1" w:styleId="p1a">
    <w:name w:val="p1a"/>
    <w:basedOn w:val="Normalny"/>
    <w:next w:val="Normalny"/>
    <w:rsid w:val="00DE2A38"/>
    <w:pPr>
      <w:ind w:firstLine="0"/>
    </w:pPr>
  </w:style>
  <w:style w:type="paragraph" w:customStyle="1" w:styleId="programcode">
    <w:name w:val="programcode"/>
    <w:basedOn w:val="Normalny"/>
    <w:rsid w:val="00DE2A38"/>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ny"/>
    <w:rsid w:val="00DE2A38"/>
    <w:pPr>
      <w:numPr>
        <w:numId w:val="9"/>
      </w:numPr>
      <w:spacing w:line="220" w:lineRule="atLeast"/>
    </w:pPr>
    <w:rPr>
      <w:sz w:val="18"/>
    </w:rPr>
  </w:style>
  <w:style w:type="numbering" w:customStyle="1" w:styleId="referencelist">
    <w:name w:val="referencelist"/>
    <w:basedOn w:val="Bezlisty"/>
    <w:semiHidden/>
    <w:rsid w:val="00DE2A38"/>
    <w:pPr>
      <w:numPr>
        <w:numId w:val="8"/>
      </w:numPr>
    </w:pPr>
  </w:style>
  <w:style w:type="paragraph" w:customStyle="1" w:styleId="runninghead-left">
    <w:name w:val="running head - left"/>
    <w:basedOn w:val="Normalny"/>
    <w:rsid w:val="00DE2A38"/>
    <w:pPr>
      <w:ind w:firstLine="0"/>
      <w:jc w:val="left"/>
    </w:pPr>
    <w:rPr>
      <w:sz w:val="18"/>
      <w:szCs w:val="18"/>
    </w:rPr>
  </w:style>
  <w:style w:type="paragraph" w:customStyle="1" w:styleId="runninghead-right">
    <w:name w:val="running head - right"/>
    <w:basedOn w:val="Normalny"/>
    <w:rsid w:val="00DE2A38"/>
    <w:pPr>
      <w:ind w:firstLine="0"/>
      <w:jc w:val="right"/>
    </w:pPr>
    <w:rPr>
      <w:bCs/>
      <w:sz w:val="18"/>
      <w:szCs w:val="18"/>
    </w:rPr>
  </w:style>
  <w:style w:type="character" w:styleId="Numerstrony">
    <w:name w:val="page number"/>
    <w:basedOn w:val="Domylnaczcionkaakapitu"/>
    <w:semiHidden/>
    <w:unhideWhenUsed/>
    <w:rsid w:val="00DE2A38"/>
    <w:rPr>
      <w:sz w:val="18"/>
    </w:rPr>
  </w:style>
  <w:style w:type="paragraph" w:customStyle="1" w:styleId="papertitle">
    <w:name w:val="papertitle"/>
    <w:basedOn w:val="Normalny"/>
    <w:next w:val="author"/>
    <w:rsid w:val="00DE2A38"/>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DE2A38"/>
    <w:pPr>
      <w:spacing w:before="120" w:line="280" w:lineRule="atLeast"/>
    </w:pPr>
    <w:rPr>
      <w:sz w:val="24"/>
    </w:rPr>
  </w:style>
  <w:style w:type="paragraph" w:customStyle="1" w:styleId="tablecaption">
    <w:name w:val="tablecaption"/>
    <w:basedOn w:val="Normalny"/>
    <w:next w:val="Normalny"/>
    <w:rsid w:val="00DE2A38"/>
    <w:pPr>
      <w:keepNext/>
      <w:keepLines/>
      <w:spacing w:before="240" w:after="120" w:line="220" w:lineRule="atLeast"/>
      <w:ind w:firstLine="0"/>
      <w:jc w:val="center"/>
    </w:pPr>
    <w:rPr>
      <w:sz w:val="18"/>
    </w:rPr>
  </w:style>
  <w:style w:type="character" w:customStyle="1" w:styleId="url">
    <w:name w:val="url"/>
    <w:basedOn w:val="Domylnaczcionkaakapitu"/>
    <w:rsid w:val="00DE2A38"/>
    <w:rPr>
      <w:rFonts w:ascii="Courier" w:hAnsi="Courier"/>
      <w:noProof/>
    </w:rPr>
  </w:style>
  <w:style w:type="character" w:customStyle="1" w:styleId="ORCID">
    <w:name w:val="ORCID"/>
    <w:basedOn w:val="Domylnaczcionkaakapitu"/>
    <w:rsid w:val="00DE2A38"/>
    <w:rPr>
      <w:position w:val="0"/>
      <w:vertAlign w:val="superscript"/>
    </w:rPr>
  </w:style>
  <w:style w:type="paragraph" w:styleId="Tekstprzypisudolnego">
    <w:name w:val="footnote text"/>
    <w:basedOn w:val="Normalny"/>
    <w:semiHidden/>
    <w:rsid w:val="00DE2A38"/>
    <w:pPr>
      <w:spacing w:line="220" w:lineRule="atLeast"/>
      <w:ind w:left="227" w:hanging="227"/>
    </w:pPr>
    <w:rPr>
      <w:sz w:val="18"/>
    </w:rPr>
  </w:style>
  <w:style w:type="paragraph" w:customStyle="1" w:styleId="ReferenceLine">
    <w:name w:val="ReferenceLine"/>
    <w:basedOn w:val="p1a"/>
    <w:semiHidden/>
    <w:unhideWhenUsed/>
    <w:rsid w:val="00DE2A38"/>
    <w:pPr>
      <w:spacing w:line="200" w:lineRule="exact"/>
    </w:pPr>
    <w:rPr>
      <w:sz w:val="16"/>
    </w:rPr>
  </w:style>
  <w:style w:type="character" w:styleId="UyteHipercze">
    <w:name w:val="FollowedHyperlink"/>
    <w:basedOn w:val="Domylnaczcionkaakapitu"/>
    <w:semiHidden/>
    <w:unhideWhenUsed/>
    <w:rsid w:val="007A25DE"/>
    <w:rPr>
      <w:color w:val="800080" w:themeColor="followedHyperlink"/>
      <w:u w:val="single"/>
    </w:rPr>
  </w:style>
  <w:style w:type="character" w:styleId="Uwydatnienie">
    <w:name w:val="Emphasis"/>
    <w:uiPriority w:val="20"/>
    <w:qFormat/>
    <w:rsid w:val="007B7AFC"/>
    <w:rPr>
      <w:i/>
      <w:iCs/>
    </w:rPr>
  </w:style>
  <w:style w:type="paragraph" w:styleId="Tekstdymka">
    <w:name w:val="Balloon Text"/>
    <w:basedOn w:val="Normalny"/>
    <w:link w:val="TekstdymkaZnak"/>
    <w:semiHidden/>
    <w:rsid w:val="003F709C"/>
    <w:pPr>
      <w:spacing w:line="240" w:lineRule="auto"/>
    </w:pPr>
    <w:rPr>
      <w:rFonts w:ascii="Tahoma" w:hAnsi="Tahoma" w:cs="Tahoma"/>
      <w:sz w:val="16"/>
      <w:szCs w:val="16"/>
    </w:rPr>
  </w:style>
  <w:style w:type="character" w:customStyle="1" w:styleId="TekstdymkaZnak">
    <w:name w:val="Tekst dymka Znak"/>
    <w:basedOn w:val="Domylnaczcionkaakapitu"/>
    <w:link w:val="Tekstdymka"/>
    <w:semiHidden/>
    <w:rsid w:val="003F709C"/>
    <w:rPr>
      <w:rFonts w:ascii="Tahoma" w:hAnsi="Tahoma" w:cs="Tahoma"/>
      <w:sz w:val="16"/>
      <w:szCs w:val="16"/>
    </w:rPr>
  </w:style>
  <w:style w:type="character" w:styleId="Tekstzastpczy">
    <w:name w:val="Placeholder Text"/>
    <w:basedOn w:val="Domylnaczcionkaakapitu"/>
    <w:semiHidden/>
    <w:rsid w:val="00D9564B"/>
    <w:rPr>
      <w:color w:val="666666"/>
    </w:rPr>
  </w:style>
  <w:style w:type="paragraph" w:styleId="Legenda">
    <w:name w:val="caption"/>
    <w:basedOn w:val="Normalny"/>
    <w:next w:val="Normalny"/>
    <w:unhideWhenUsed/>
    <w:rsid w:val="00CC06A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hyperlink" Target="mailto:firstname.secondname@springernature.com" TargetMode="External"/><Relationship Id="rId12"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43</TotalTime>
  <Pages>3</Pages>
  <Words>1111</Words>
  <Characters>6671</Characters>
  <Application>Microsoft Office Word</Application>
  <DocSecurity>0</DocSecurity>
  <Lines>55</Lines>
  <Paragraphs>15</Paragraphs>
  <ScaleCrop>false</ScaleCrop>
  <HeadingPairs>
    <vt:vector size="4" baseType="variant">
      <vt:variant>
        <vt:lpstr>Tytuł</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Dawid Kucharski</cp:lastModifiedBy>
  <cp:revision>14</cp:revision>
  <dcterms:created xsi:type="dcterms:W3CDTF">2025-06-19T09:35:00Z</dcterms:created>
  <dcterms:modified xsi:type="dcterms:W3CDTF">2025-12-03T09:59:00Z</dcterms:modified>
</cp:coreProperties>
</file>