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Quantum electrostatic scanning probe microscopy: trapped-ion surface metrology</w:t>
      </w:r>
    </w:p>
    <w:p>
      <w:pPr>
        <w:pStyle w:val="Compact"/>
        <w:numPr>
          <w:ilvl w:val="0"/>
          <w:numId w:val="1001"/>
        </w:numPr>
      </w:pPr>
      <w:r>
        <w:t xml:space="preserve">Transfer function k</w:t>
      </w:r>
      <w:r>
        <w:rPr>
          <w:vertAlign w:val="superscript"/>
        </w:rPr>
        <w:t xml:space="preserve">2e</w:t>
      </w:r>
      <w:r>
        <w:t xml:space="preserve">(-kh) sets an effective spatial-information limit</w:t>
      </w:r>
    </w:p>
    <w:p>
      <w:pPr>
        <w:pStyle w:val="Compact"/>
        <w:numPr>
          <w:ilvl w:val="0"/>
          <w:numId w:val="1001"/>
        </w:numPr>
      </w:pPr>
      <w:r>
        <w:t xml:space="preserve">Topography and patch potentials are confounded; GUM budget yields 319 nm</w:t>
      </w:r>
    </w:p>
    <w:p>
      <w:pPr>
        <w:pStyle w:val="Compact"/>
        <w:numPr>
          <w:ilvl w:val="0"/>
          <w:numId w:val="1001"/>
        </w:numPr>
      </w:pPr>
      <w:r>
        <w:t xml:space="preserve">Quantum enhancement cannot restore modes suppressed by the transfer function</w:t>
      </w:r>
    </w:p>
    <w:p>
      <w:pPr>
        <w:pStyle w:val="Compact"/>
        <w:numPr>
          <w:ilvl w:val="0"/>
          <w:numId w:val="1001"/>
        </w:numPr>
      </w:pPr>
      <w:r>
        <w:t xml:space="preserve">Framework cross-checked by exact, boundary-element and finite-difference solvers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2026-10-01T09:31:53Z</dcterms:created>
  <dcterms:modified xsi:type="dcterms:W3CDTF">2026-10-01T09:31:53Z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