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</w:pPr>
      <w:r>
        <w:t xml:space="preserve">Highlights</w:t>
      </w:r>
    </w:p>
    <w:p>
      <w:pPr>
        <w:pStyle w:val="Compact"/>
        <w:numPr>
          <w:ilvl w:val="0"/>
          <w:numId w:val="1001"/>
        </w:numPr>
      </w:pPr>
      <w:r>
        <w:t xml:space="preserve">Quantum electrostatic scanning probe microscopy: trapped-ion surface metrology</w:t>
      </w:r>
    </w:p>
    <w:p>
      <w:pPr>
        <w:pStyle w:val="Compact"/>
        <w:numPr>
          <w:ilvl w:val="0"/>
          <w:numId w:val="1001"/>
        </w:numPr>
      </w:pPr>
      <w:r>
        <w:t xml:space="preserve">Transfer function k</w:t>
      </w:r>
      <w:r>
        <w:rPr>
          <w:vertAlign w:val="superscript"/>
        </w:rPr>
        <w:t xml:space="preserve">2e</w:t>
      </w:r>
      <w:r>
        <w:t xml:space="preserve">(-kh) sets an irreducible spatial-information limit</w:t>
      </w:r>
    </w:p>
    <w:p>
      <w:pPr>
        <w:pStyle w:val="Compact"/>
        <w:numPr>
          <w:ilvl w:val="0"/>
          <w:numId w:val="1001"/>
        </w:numPr>
      </w:pPr>
      <w:r>
        <w:t xml:space="preserve">Topography and patch potentials are confounded; GUM budget yields 319 nm</w:t>
      </w:r>
    </w:p>
    <w:p>
      <w:pPr>
        <w:pStyle w:val="Compact"/>
        <w:numPr>
          <w:ilvl w:val="0"/>
          <w:numId w:val="1001"/>
        </w:numPr>
      </w:pPr>
      <w:r>
        <w:t xml:space="preserve">Quantum enhancement cannot restore spatial modes suppressed by the transfer function</w:t>
      </w:r>
    </w:p>
    <w:p>
      <w:pPr>
        <w:pStyle w:val="Compact"/>
        <w:numPr>
          <w:ilvl w:val="0"/>
          <w:numId w:val="1001"/>
        </w:numPr>
      </w:pPr>
      <w:r>
        <w:t xml:space="preserve">Framework cross-checked by exact, boundary-element and finite-difference solvers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2026-09-29T10:42:05Z</dcterms:created>
  <dcterms:modified xsi:type="dcterms:W3CDTF">2026-09-29T10:42:05Z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