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dbf2ecc56f08b1f873f06ddb8afc481be056e3d"/>
    <w:p>
      <w:pPr>
        <w:pStyle w:val="Heading1"/>
      </w:pPr>
      <w:r>
        <w:t xml:space="preserve">Quantum Electrostatic Scanning Probe Microscopy: Spatial Information Limits, Identifiability, and Metrological Uncertainty</w:t>
      </w:r>
    </w:p>
    <w:p>
      <w:pPr>
        <w:pStyle w:val="FirstParagraph"/>
      </w:pPr>
      <w:r>
        <w:t xml:space="preserve">Dawid Kucharski</w:t>
      </w:r>
      <w:r>
        <w:rPr>
          <w:vertAlign w:val="superscript"/>
        </w:rPr>
        <w:t xml:space="preserve">a</w:t>
      </w:r>
    </w:p>
    <w:p>
      <w:pPr>
        <w:pStyle w:val="BodyText"/>
      </w:pPr>
      <w:r>
        <w:rPr>
          <w:vertAlign w:val="superscript"/>
        </w:rPr>
        <w:t xml:space="preserve">a</w:t>
      </w:r>
      <w:r>
        <w:t xml:space="preserve"> </w:t>
      </w:r>
      <w:r>
        <w:t xml:space="preserve">Poznan University of Technology, Poznań, Poland</w:t>
      </w:r>
    </w:p>
    <w:p>
      <w:pPr>
        <w:pStyle w:val="BodyText"/>
      </w:pPr>
      <w:r>
        <w:rPr>
          <w:b/>
          <w:bCs/>
        </w:rPr>
        <w:t xml:space="preserve">Corresponding author:</w:t>
      </w:r>
      <w:r>
        <w:t xml:space="preserve"> </w:t>
      </w:r>
      <w:r>
        <w:t xml:space="preserve">Dawid Kucharski — Poznan University of Technology, Poznań, Poland — dawid.kucharski@put.poznan.pl</w:t>
      </w:r>
    </w:p>
    <w:bookmarkStart w:id="20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The author thanks the Surface-Topography Challenge Consortium for making their benchmark dataset publicly available, and the Mendeley Data repository for hosting the stainless steel AFM data under an open-access licence.</w:t>
      </w:r>
    </w:p>
    <w:bookmarkEnd w:id="20"/>
    <w:bookmarkStart w:id="21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The author gratefully acknowledges the support of Poznan University of Technology, Poland. This work was funded by grant 0614/SBAD/1603. The funder had no involvement in the study design, the collection, analysis and interpretation of data, the writing of the report, or the decision to submit the article for publication.</w:t>
      </w:r>
    </w:p>
    <w:bookmarkEnd w:id="21"/>
    <w:bookmarkStart w:id="22" w:name="declaration-of-competing-interests"/>
    <w:p>
      <w:pPr>
        <w:pStyle w:val="Heading2"/>
      </w:pPr>
      <w:r>
        <w:t xml:space="preserve">Declaration of competing interests</w:t>
      </w:r>
    </w:p>
    <w:p>
      <w:pPr>
        <w:pStyle w:val="FirstParagraph"/>
      </w:pPr>
      <w:r>
        <w:t xml:space="preserve">The author declares that he has no known competing financial interests or personal relationships that could have appeared to influence the work reported in this paper.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2026-09-29T10:42:06Z</dcterms:created>
  <dcterms:modified xsi:type="dcterms:W3CDTF">2026-09-29T10:42:06Z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