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260" w:before="100"/>
        <w:jc w:val="center"/>
      </w:pPr>
      <w:r>
        <w:rPr>
          <w:rFonts w:ascii="SimHei" w:cs="SimHei" w:eastAsia="SimHei" w:hAnsi="SimHei"/>
          <w:b/>
          <w:bCs/>
          <w:i w:val="false"/>
          <w:iCs w:val="false"/>
          <w:color w:val="000000"/>
          <w:sz w:val="36"/>
          <w:szCs w:val="36"/>
        </w:rPr>
        <w:t xml:space="preserve">说 明 书 摘 要</w:t>
      </w:r>
    </w:p>
    <w:p>
      <w:pPr>
        <w:keepNext/>
        <w:spacing w:after="280" w:before="300"/>
        <w:jc w:val="center"/>
      </w:pPr>
      <w:r>
        <w:rPr>
          <w:rFonts w:ascii="SimHei" w:cs="SimHei" w:eastAsia="SimHei" w:hAnsi="SimHei"/>
          <w:b/>
          <w:bCs/>
          <w:i w:val="false"/>
          <w:iCs w:val="false"/>
          <w:color w:val="000000"/>
          <w:sz w:val="38"/>
          <w:szCs w:val="38"/>
        </w:rPr>
        <w:t xml:space="preserve">一种基于概率潜变量与多特征融合的水下声学目标分类方法、系统、电子设备及存储介质</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本发明公开一种基于概率潜变量与多特征融合的水下声学目标分类方法、系统、电子设备及存储介质，旨在解决重叠音频窗口随机划分引起的源文件信息泄漏、单一时频特征表征不足以及小样本条件下分类边界稳定性不足的问题。该方法以源文件为分组单位构建互不交叉的训练数据集和验证数据集；并行提取对数梅尔频谱和辅助声学特征，且仅利用训练数据拟合辅助特征变换器；经卷积编码、双全局池化和辅助特征编码后进行特征融合，生成潜变量均值和对数方差。训练阶段按缩放高斯重参数化方式生成随机潜变量，推理阶段以潜变量均值进行确定性分类。该方法适用于船舶目标识别和水下被动声学监测。</w:t>
      </w:r>
    </w:p>
    <w:p>
      <w:pPr>
        <w:keepNext w:val="false"/>
        <w:spacing w:after="120" w:before="160" w:line="360"/>
        <w:jc w:val="center"/>
      </w:pPr>
      <w:r>
        <w:rPr>
          <w:rFonts w:ascii="SimSun" w:cs="SimSun" w:eastAsia="SimSun" w:hAnsi="SimSun"/>
          <w:b w:val="false"/>
          <w:bCs w:val="false"/>
          <w:i w:val="false"/>
          <w:iCs w:val="false"/>
          <w:color w:val="000000"/>
          <w:sz w:val="24"/>
          <w:szCs w:val="24"/>
        </w:rPr>
        <w:t xml:space="preserve">摘要附图为图1。</w:t>
      </w:r>
    </w:p>
    <w:p>
      <w:pPr>
        <w:spacing w:after="80" w:before="120"/>
        <w:jc w:val="center"/>
      </w:pPr>
      <w:r>
        <w:drawing>
          <wp:inline distT="0" distB="0" distL="0" distR="0">
            <wp:extent cx="5905500" cy="2724150"/>
            <wp:effectExtent t="0" r="0" b="0" l="0"/>
            <wp:docPr id="1" name="PVSC-Net网络结构摘要附图" descr="PVSC-Net网络结构摘要附图" title="PVSC-Net网络结构摘要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724150"/>
                    </a:xfrm>
                    <a:prstGeom prst="rect">
                      <a:avLst/>
                    </a:prstGeom>
                  </pic:spPr>
                </pic:pic>
              </a:graphicData>
            </a:graphic>
          </wp:inline>
        </w:drawing>
      </w:r>
    </w:p>
    <w:p>
      <w:pPr>
        <w:keepNext/>
        <w:spacing w:after="200" w:before="80"/>
        <w:jc w:val="center"/>
      </w:pPr>
      <w:r>
        <w:rPr>
          <w:rFonts w:ascii="SimSun" w:cs="SimSun" w:eastAsia="SimSun" w:hAnsi="SimSun"/>
          <w:b w:val="false"/>
          <w:bCs w:val="false"/>
          <w:i w:val="false"/>
          <w:iCs w:val="false"/>
          <w:color w:val="000000"/>
          <w:sz w:val="21"/>
          <w:szCs w:val="21"/>
        </w:rPr>
        <w:t xml:space="preserve">图1  PVSC-Net网络结构</w:t>
      </w:r>
    </w:p>
    <w:p>
      <w:r>
        <w:br w:type="page"/>
      </w:r>
    </w:p>
    <w:p>
      <w:pPr>
        <w:keepNext/>
        <w:spacing w:after="260" w:before="100"/>
        <w:jc w:val="center"/>
      </w:pPr>
      <w:r>
        <w:rPr>
          <w:rFonts w:ascii="SimHei" w:cs="SimHei" w:eastAsia="SimHei" w:hAnsi="SimHei"/>
          <w:b/>
          <w:bCs/>
          <w:i w:val="false"/>
          <w:iCs w:val="false"/>
          <w:color w:val="000000"/>
          <w:sz w:val="36"/>
          <w:szCs w:val="36"/>
        </w:rPr>
        <w:t xml:space="preserve">权 利 要 求 书</w:t>
      </w:r>
    </w:p>
    <w:p>
      <w:pPr>
        <w:spacing w:after="140" w:line="360"/>
        <w:jc w:val="both"/>
      </w:pPr>
      <w:r>
        <w:rPr>
          <w:rFonts w:ascii="SimSun" w:cs="SimSun" w:eastAsia="SimSun" w:hAnsi="SimSun"/>
          <w:b w:val="false"/>
          <w:bCs w:val="false"/>
          <w:i w:val="false"/>
          <w:iCs w:val="false"/>
          <w:color w:val="000000"/>
          <w:sz w:val="24"/>
          <w:szCs w:val="24"/>
        </w:rPr>
        <w:t xml:space="preserve">1、一种基于概率潜变量与多特征融合的水下声学目标分类方法，其特征在于，包括以下步骤：S1，获取具有目标类别标签的多个水下声学源文件，以源文件为不可分割的分组单位构建训练数据集和验证数据集，并将各源文件划分为定长音频窗口；S2，针对每一音频窗口，提取对数梅尔频谱作为主特征，并提取表征频谱纹理、频谱形状、频谱梯度、信号包络及音频统计特性的辅助声学特征；S3，仅基于所述训练数据集中的辅助声学特征拟合特征变换器，利用拟合后的特征变换器将辅助声学特征映射为低维辅助特征；S4，利用多级二维卷积编码器对所述主特征进行编码，对所得特征图分别进行全局平均池化和全局最大池化，并将两种池化结果拼接为主特征向量；利用辅助特征编码器将所述低维辅助特征映射为辅助嵌入向量；S5，将所述主特征向量和所述辅助嵌入向量进行融合，依据融合结果分别生成潜变量均值向量和潜变量对数方差向量；S6，在网络训练阶段，依据所述潜变量均值向量、所述潜变量对数方差向量、标准高斯随机向量和预设噪声比例生成随机潜变量；在网络推理阶段，将所述潜变量均值向量确定为潜变量；S7，将所述潜变量输入分类器，获得水下声学目标的类别输出。</w:t>
      </w:r>
    </w:p>
    <w:p>
      <w:pPr>
        <w:spacing w:after="140" w:line="360"/>
        <w:jc w:val="both"/>
      </w:pPr>
      <w:r>
        <w:rPr>
          <w:rFonts w:ascii="SimSun" w:cs="SimSun" w:eastAsia="SimSun" w:hAnsi="SimSun"/>
          <w:b w:val="false"/>
          <w:bCs w:val="false"/>
          <w:i w:val="false"/>
          <w:iCs w:val="false"/>
          <w:color w:val="000000"/>
          <w:sz w:val="24"/>
          <w:szCs w:val="24"/>
        </w:rPr>
        <w:t xml:space="preserve">2、根据权利要求1所述的水下声学目标分类方法，其特征在于，步骤S1包括：将各源文件重采样至统一采样率；根据预设窗口长度和窗口重叠率确定规则窗口起点；在不超出源文件有效采样区间的条件下，对除首窗口起点和末窗口起点以外的规则窗口起点施加随机抖动；其中，所述训练数据集与所述验证数据集包含的源文件集合互不相交。</w:t>
      </w:r>
    </w:p>
    <w:p>
      <w:pPr>
        <w:spacing w:after="140" w:line="360"/>
        <w:jc w:val="both"/>
      </w:pPr>
      <w:r>
        <w:rPr>
          <w:rFonts w:ascii="SimSun" w:cs="SimSun" w:eastAsia="SimSun" w:hAnsi="SimSun"/>
          <w:b w:val="false"/>
          <w:bCs w:val="false"/>
          <w:i w:val="false"/>
          <w:iCs w:val="false"/>
          <w:color w:val="000000"/>
          <w:sz w:val="24"/>
          <w:szCs w:val="24"/>
        </w:rPr>
        <w:t xml:space="preserve">3、根据权利要求1所述的水下声学目标分类方法，其特征在于，所述辅助声学特征包括灰度共生矩阵统计量、Hu不变矩、频谱图梯度统计量、带通滤波信号的解析包络频域统计量，以及均方根、过零率、谱质心和谱带宽。</w:t>
      </w:r>
    </w:p>
    <w:p>
      <w:pPr>
        <w:spacing w:after="140" w:line="360"/>
        <w:jc w:val="both"/>
      </w:pPr>
      <w:r>
        <w:rPr>
          <w:rFonts w:ascii="SimSun" w:cs="SimSun" w:eastAsia="SimSun" w:hAnsi="SimSun"/>
          <w:b w:val="false"/>
          <w:bCs w:val="false"/>
          <w:i w:val="false"/>
          <w:iCs w:val="false"/>
          <w:color w:val="000000"/>
          <w:sz w:val="24"/>
          <w:szCs w:val="24"/>
        </w:rPr>
        <w:t xml:space="preserve">4、根据权利要求1所述的水下声学目标分类方法，其特征在于，步骤S3中的特征变换器包括依次连接的第一标准化器、主成分分析器、线性判别分析器和第二标准化器；所述第一标准化器、主成分分析器、线性判别分析器及第二标准化器的参数均由所述训练数据集确定，并在验证阶段和推理阶段保持固定。</w:t>
      </w:r>
    </w:p>
    <w:p>
      <w:pPr>
        <w:spacing w:after="140" w:line="360"/>
        <w:jc w:val="both"/>
      </w:pPr>
      <w:r>
        <w:rPr>
          <w:rFonts w:ascii="SimSun" w:cs="SimSun" w:eastAsia="SimSun" w:hAnsi="SimSun"/>
          <w:b w:val="false"/>
          <w:bCs w:val="false"/>
          <w:i w:val="false"/>
          <w:iCs w:val="false"/>
          <w:color w:val="000000"/>
          <w:sz w:val="24"/>
          <w:szCs w:val="24"/>
        </w:rPr>
        <w:t xml:space="preserve">5、根据权利要求1所述的水下声学目标分类方法，其特征在于，所述多级二维卷积编码器包括四个依次连接的卷积单元；每一卷积单元包括二维卷积层、组归一化层和SiLU激活层，且四个卷积单元的输出通道数逐级增加。</w:t>
      </w:r>
    </w:p>
    <w:p>
      <w:pPr>
        <w:spacing w:after="140" w:line="360"/>
        <w:jc w:val="both"/>
      </w:pPr>
      <w:r>
        <w:rPr>
          <w:rFonts w:ascii="SimSun" w:cs="SimSun" w:eastAsia="SimSun" w:hAnsi="SimSun"/>
          <w:b w:val="false"/>
          <w:bCs w:val="false"/>
          <w:i w:val="false"/>
          <w:iCs w:val="false"/>
          <w:color w:val="000000"/>
          <w:sz w:val="24"/>
          <w:szCs w:val="24"/>
        </w:rPr>
        <w:t xml:space="preserve">6、根据权利要求1所述的水下声学目标分类方法，其特征在于，所述全局平均池化用于获得所述特征图的整体响应，所述全局最大池化用于获得所述特征图的局部显著响应，所述主特征向量由所述整体响应与所述局部显著响应沿通道维拼接形成。</w:t>
      </w:r>
    </w:p>
    <w:p>
      <w:pPr>
        <w:spacing w:after="140" w:line="360"/>
        <w:jc w:val="both"/>
      </w:pPr>
      <w:r>
        <w:rPr>
          <w:rFonts w:ascii="SimSun" w:cs="SimSun" w:eastAsia="SimSun" w:hAnsi="SimSun"/>
          <w:b w:val="false"/>
          <w:bCs w:val="false"/>
          <w:i w:val="false"/>
          <w:iCs w:val="false"/>
          <w:color w:val="000000"/>
          <w:sz w:val="24"/>
          <w:szCs w:val="24"/>
        </w:rPr>
        <w:t xml:space="preserve">7、根据权利要求1所述的水下声学目标分类方法，其特征在于，所述辅助特征编码器包括层归一化层、至少两个全连接层及SiLU激活层；所述主特征向量和所述辅助嵌入向量沿特征维拼接后，依次经全连接层、层归一化层、SiLU激活层和Dropout层，获得融合隐藏向量。</w:t>
      </w:r>
    </w:p>
    <w:p>
      <w:pPr>
        <w:spacing w:after="140" w:line="360"/>
        <w:jc w:val="both"/>
      </w:pPr>
      <w:r>
        <w:rPr>
          <w:rFonts w:ascii="SimSun" w:cs="SimSun" w:eastAsia="SimSun" w:hAnsi="SimSun"/>
          <w:b w:val="false"/>
          <w:bCs w:val="false"/>
          <w:i w:val="false"/>
          <w:iCs w:val="false"/>
          <w:color w:val="000000"/>
          <w:sz w:val="24"/>
          <w:szCs w:val="24"/>
        </w:rPr>
        <w:t xml:space="preserve">8、根据权利要求1所述的水下声学目标分类方法，其特征在于，所述潜变量对数方差向量被限制在预设下限与预设上限之间；在网络训练阶段，先根据受限的潜变量对数方差向量计算潜变量标准差，再将所述潜变量标准差、所述标准高斯随机向量及所述预设噪声比例的乘积与所述潜变量均值向量相加，生成所述随机潜变量。</w:t>
      </w:r>
    </w:p>
    <w:p>
      <w:pPr>
        <w:spacing w:after="140" w:line="360"/>
        <w:jc w:val="both"/>
      </w:pPr>
      <w:r>
        <w:rPr>
          <w:rFonts w:ascii="SimSun" w:cs="SimSun" w:eastAsia="SimSun" w:hAnsi="SimSun"/>
          <w:b w:val="false"/>
          <w:bCs w:val="false"/>
          <w:i w:val="false"/>
          <w:iCs w:val="false"/>
          <w:color w:val="000000"/>
          <w:sz w:val="24"/>
          <w:szCs w:val="24"/>
        </w:rPr>
        <w:t xml:space="preserve">9、根据权利要求1所述的水下声学目标分类方法，其特征在于，所述分类器包括层归一化层、全连接层、SiLU激活层、Dropout层和类别输出层；所述分类器输出各目标类别对应的未归一化分值，所述网络采用带标签平滑的交叉熵损失进行训练。</w:t>
      </w:r>
    </w:p>
    <w:p>
      <w:pPr>
        <w:spacing w:after="140" w:line="360"/>
        <w:jc w:val="both"/>
      </w:pPr>
      <w:r>
        <w:rPr>
          <w:rFonts w:ascii="SimSun" w:cs="SimSun" w:eastAsia="SimSun" w:hAnsi="SimSun"/>
          <w:b w:val="false"/>
          <w:bCs w:val="false"/>
          <w:i w:val="false"/>
          <w:iCs w:val="false"/>
          <w:color w:val="000000"/>
          <w:sz w:val="24"/>
          <w:szCs w:val="24"/>
        </w:rPr>
        <w:t xml:space="preserve">10、根据权利要求1所述的水下声学目标分类方法，其特征在于，在每一训练轮次内，按目标类别和源文件实施平衡采样：针对每一目标类别，从该目标类别对应的各源文件中无放回地抽取不超过预设上限的音频窗口，并使不同目标类别参与训练的音频窗口数量相同。</w:t>
      </w:r>
    </w:p>
    <w:p>
      <w:pPr>
        <w:spacing w:after="140" w:line="360"/>
        <w:jc w:val="both"/>
      </w:pPr>
      <w:r>
        <w:rPr>
          <w:rFonts w:ascii="SimSun" w:cs="SimSun" w:eastAsia="SimSun" w:hAnsi="SimSun"/>
          <w:b w:val="false"/>
          <w:bCs w:val="false"/>
          <w:i w:val="false"/>
          <w:iCs w:val="false"/>
          <w:color w:val="000000"/>
          <w:sz w:val="24"/>
          <w:szCs w:val="24"/>
        </w:rPr>
        <w:t xml:space="preserve">11、根据权利要求1所述的水下声学目标分类方法，其特征在于，针对同一待分类源文件的多个音频窗口分别获得类别输出，并对多个类别输出执行算术平均、置信度加权平均或多数投票，以确定所述待分类源文件的目标类别。</w:t>
      </w:r>
    </w:p>
    <w:p>
      <w:pPr>
        <w:spacing w:after="140" w:line="360"/>
        <w:jc w:val="both"/>
      </w:pPr>
      <w:r>
        <w:rPr>
          <w:rFonts w:ascii="SimSun" w:cs="SimSun" w:eastAsia="SimSun" w:hAnsi="SimSun"/>
          <w:b w:val="false"/>
          <w:bCs w:val="false"/>
          <w:i w:val="false"/>
          <w:iCs w:val="false"/>
          <w:color w:val="000000"/>
          <w:sz w:val="24"/>
          <w:szCs w:val="24"/>
        </w:rPr>
        <w:t xml:space="preserve">12、一种水下声学目标分类系统，其特征在于，包括源文件分组与窗口生成模块、主特征提取模块、辅助声学特征提取与变换模块、主特征编码模块、辅助特征编码模块、概率潜变量生成模块及分类输出模块；所述各模块被配置为协同执行权利要求1至11中任一项所述的水下声学目标分类方法。</w:t>
      </w:r>
    </w:p>
    <w:p>
      <w:pPr>
        <w:spacing w:after="140" w:line="360"/>
        <w:jc w:val="both"/>
      </w:pPr>
      <w:r>
        <w:rPr>
          <w:rFonts w:ascii="SimSun" w:cs="SimSun" w:eastAsia="SimSun" w:hAnsi="SimSun"/>
          <w:b w:val="false"/>
          <w:bCs w:val="false"/>
          <w:i w:val="false"/>
          <w:iCs w:val="false"/>
          <w:color w:val="000000"/>
          <w:sz w:val="24"/>
          <w:szCs w:val="24"/>
        </w:rPr>
        <w:t xml:space="preserve">13、一种电子设备，包括处理器和存储器，其特征在于，所述存储器中存储有计算机程序，所述计算机程序由所述处理器执行时，使所述处理器执行权利要求1至11中任一项所述的水下声学目标分类方法。</w:t>
      </w:r>
    </w:p>
    <w:p>
      <w:pPr>
        <w:spacing w:after="140" w:line="360"/>
        <w:jc w:val="both"/>
      </w:pPr>
      <w:r>
        <w:rPr>
          <w:rFonts w:ascii="SimSun" w:cs="SimSun" w:eastAsia="SimSun" w:hAnsi="SimSun"/>
          <w:b w:val="false"/>
          <w:bCs w:val="false"/>
          <w:i w:val="false"/>
          <w:iCs w:val="false"/>
          <w:color w:val="000000"/>
          <w:sz w:val="24"/>
          <w:szCs w:val="24"/>
        </w:rPr>
        <w:t xml:space="preserve">14、一种计算机可读存储介质，其上存储有计算机程序，其特征在于，所述计算机程序由处理器执行时，实现权利要求1至11中任一项所述的水下声学目标分类方法。</w:t>
      </w:r>
    </w:p>
    <w:p>
      <w:r>
        <w:br w:type="page"/>
      </w:r>
    </w:p>
    <w:p>
      <w:pPr>
        <w:keepNext/>
        <w:spacing w:after="260" w:before="100"/>
        <w:jc w:val="center"/>
      </w:pPr>
      <w:r>
        <w:rPr>
          <w:rFonts w:ascii="SimHei" w:cs="SimHei" w:eastAsia="SimHei" w:hAnsi="SimHei"/>
          <w:b/>
          <w:bCs/>
          <w:i w:val="false"/>
          <w:iCs w:val="false"/>
          <w:color w:val="000000"/>
          <w:sz w:val="36"/>
          <w:szCs w:val="36"/>
        </w:rPr>
        <w:t xml:space="preserve">说 明 书</w:t>
      </w:r>
    </w:p>
    <w:p>
      <w:pPr>
        <w:keepNext/>
        <w:spacing w:after="280" w:before="300"/>
        <w:jc w:val="center"/>
      </w:pPr>
      <w:r>
        <w:rPr>
          <w:rFonts w:ascii="SimHei" w:cs="SimHei" w:eastAsia="SimHei" w:hAnsi="SimHei"/>
          <w:b/>
          <w:bCs/>
          <w:i w:val="false"/>
          <w:iCs w:val="false"/>
          <w:color w:val="000000"/>
          <w:sz w:val="38"/>
          <w:szCs w:val="38"/>
        </w:rPr>
        <w:t xml:space="preserve">一种基于概率潜变量与多特征融合的水下声学目标分类方法、系统、电子设备及存储介质</w:t>
      </w:r>
    </w:p>
    <w:p>
      <w:pPr>
        <w:pStyle w:val="Heading1"/>
        <w:keepNext/>
        <w:spacing w:after="160" w:before="220"/>
        <w:jc w:val="left"/>
      </w:pPr>
      <w:r>
        <w:rPr>
          <w:rFonts w:ascii="SimHei" w:cs="SimHei" w:eastAsia="SimHei" w:hAnsi="SimHei"/>
          <w:b/>
          <w:bCs/>
          <w:i w:val="false"/>
          <w:iCs w:val="false"/>
          <w:color w:val="000000"/>
          <w:sz w:val="32"/>
          <w:szCs w:val="32"/>
        </w:rPr>
        <w:t xml:space="preserve">技术领域</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本发明涉及水下声学信号处理和目标识别技术领域，具体涉及一种将对数梅尔频谱与辅助声学特征进行融合，并利用训练期概率潜变量实现水下声学目标分类的方法、系统、电子设备及计算机可读存储介质。</w:t>
      </w:r>
    </w:p>
    <w:p>
      <w:pPr>
        <w:pStyle w:val="Heading1"/>
        <w:keepNext/>
        <w:spacing w:after="160" w:before="220"/>
        <w:jc w:val="left"/>
      </w:pPr>
      <w:r>
        <w:rPr>
          <w:rFonts w:ascii="SimHei" w:cs="SimHei" w:eastAsia="SimHei" w:hAnsi="SimHei"/>
          <w:b/>
          <w:bCs/>
          <w:i w:val="false"/>
          <w:iCs w:val="false"/>
          <w:color w:val="000000"/>
          <w:sz w:val="32"/>
          <w:szCs w:val="32"/>
        </w:rPr>
        <w:t xml:space="preserve">背景技术</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水下被动声学目标分类通常依据目标辐射噪声中由机械振动、推进器调制和流体动力过程形成的声学模式识别目标类别。受目标航速和载荷变化、传播信道起伏、背景噪声干扰以及可用源文件数量有限等因素影响，同一类别在不同源文件之间可能呈现较大的分布差异，而同一源文件内相邻时间窗口又具有较强相关性。</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现有处理流程常将连续音频切分为相互重叠的窗口，再按窗口随机划分训练数据和验证数据。该方式可能使同一源文件的相邻窗口分别进入训练数据和验证数据，导致模型在验证阶段利用已见源文件的采集条件或背景特征，所得性能不能准确反映模型对未见源文件的识别能力。因此，数据构建环节需要以源文件为不可分割的分组单位实施隔离。</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现有基于卷积神经网络的分类方法多以时频图作为单一输入，能够学习局部时频模式，但对频谱灰度共生关系、形状矩、梯度分布、包络调制及基础音频统计量的利用不足。直接拼接高维人工特征又容易引入量纲差异、冗余维度和与类别无关的变化；若标准化或降维参数由训练数据与验证数据共同确定，还会产生特征处理层面的信息泄漏。因此，需要在训练数据范围内完成辅助特征变换，并以低维形式与深度时频特征融合。</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此外，在源文件数量有限而窗口数量较多的条件下，确定性低维表示容易对训练窗口形成过度适配。训练阶段引入受控随机扰动有助于约束分类器对潜变量局部变化的敏感性，但推理阶段继续随机采样又会导致同一输入对应的输出不稳定。由此，需要一种训练阶段具有随机扰动、推理阶段保持确定输出的潜变量生成机制，并需要限制随机扰动幅度，防止其掩盖有效类别信息。</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基于上述问题，有必要建立一套贯穿数据分组、主辅特征构建、训练集内特征变换、概率潜变量生成及源文件级输出聚合的水下声学目标分类方法。</w:t>
      </w:r>
    </w:p>
    <w:p>
      <w:pPr>
        <w:pStyle w:val="Heading1"/>
        <w:keepNext/>
        <w:spacing w:after="160" w:before="220"/>
        <w:jc w:val="left"/>
      </w:pPr>
      <w:r>
        <w:rPr>
          <w:rFonts w:ascii="SimHei" w:cs="SimHei" w:eastAsia="SimHei" w:hAnsi="SimHei"/>
          <w:b/>
          <w:bCs/>
          <w:i w:val="false"/>
          <w:iCs w:val="false"/>
          <w:color w:val="000000"/>
          <w:sz w:val="32"/>
          <w:szCs w:val="32"/>
        </w:rPr>
        <w:t xml:space="preserve">发明内容</w:t>
      </w:r>
    </w:p>
    <w:p>
      <w:pPr>
        <w:pStyle w:val="Heading2"/>
        <w:keepNext/>
        <w:spacing w:after="160" w:before="220"/>
        <w:jc w:val="left"/>
      </w:pPr>
      <w:r>
        <w:rPr>
          <w:rFonts w:ascii="SimHei" w:cs="SimHei" w:eastAsia="SimHei" w:hAnsi="SimHei"/>
          <w:b/>
          <w:bCs/>
          <w:i w:val="false"/>
          <w:iCs w:val="false"/>
          <w:color w:val="000000"/>
          <w:sz w:val="28"/>
          <w:szCs w:val="28"/>
        </w:rPr>
        <w:t xml:space="preserve">一、要解决的技术问题</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本发明旨在解决以下相互关联的技术问题：其一，重叠窗口按窗口随机划分导致同源信息跨越训练数据和验证数据；其二，单一时频表征不能充分覆盖目标辐射噪声中的纹理、形状、梯度和包络信息，而辅助声学特征直接拼接存在量纲与冗余问题；其三，小样本条件下确定性潜在表示对训练窗口过度适配，而训练和推理阶段均采用随机采样又会造成部署输出波动。</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为此，本发明提供一种基于概率潜变量与多特征融合的水下声学目标分类方法，在源文件级隔离的前提下，仅以训练数据确定特征处理参数，将深度时频特征与低维辅助声学特征融合，并通过训练阶段受控随机采样、推理阶段均值替代采样的方式兼顾表示稳健性和输出确定性。</w:t>
      </w:r>
    </w:p>
    <w:p>
      <w:pPr>
        <w:pStyle w:val="Heading2"/>
        <w:keepNext/>
        <w:spacing w:after="160" w:before="220"/>
        <w:jc w:val="left"/>
      </w:pPr>
      <w:r>
        <w:rPr>
          <w:rFonts w:ascii="SimHei" w:cs="SimHei" w:eastAsia="SimHei" w:hAnsi="SimHei"/>
          <w:b/>
          <w:bCs/>
          <w:i w:val="false"/>
          <w:iCs w:val="false"/>
          <w:color w:val="000000"/>
          <w:sz w:val="28"/>
          <w:szCs w:val="28"/>
        </w:rPr>
        <w:t xml:space="preserve">二、技术方案</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为实现上述目的，本发明采用如下技术方案。</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步骤S1，获取水下声学源文件及其目标类别标签，将各源文件重采样至统一采样率。按照窗口长度L和窗口重叠率r确定窗口步长H，在有效采样区间内生成规则窗口起点；固定首窗口起点和末窗口起点，对中间窗口起点加入受约束的随机抖动，并记录每一窗口对应的源文件标识。按目标类别进行分层，以源文件为不可分割的分组单位构建训练数据集和验证数据集，使两数据集的源文件集合互不相交。</w:t>
      </w:r>
    </w:p>
    <w:p>
      <w:pPr>
        <w:tabs>
          <w:tab w:val="center" w:pos="4513"/>
          <w:tab w:val="right" w:pos="9026"/>
        </w:tabs>
        <w:spacing w:after="140" w:before="120" w:line="300"/>
        <w:jc w:val="left"/>
      </w:pPr>
      <w:r>
        <w:rPr>
          <w:rFonts w:ascii="SimSun" w:cs="SimSun" w:eastAsia="SimSun" w:hAnsi="SimSun"/>
          <w:b w:val="false"/>
          <w:bCs w:val="false"/>
          <w:i w:val="false"/>
          <w:iCs w:val="false"/>
          <w:color w:val="000000"/>
          <w:sz w:val="24"/>
          <w:szCs w:val="24"/>
        </w:rPr>
        <w:t xml:space="preserve">	</w:t>
      </w:r>
      <m:oMath>
        <m:r>
          <m:t>H = round[L(1-r)],    </m:t>
        </m:r>
        <m:sSubSup>
          <m:sSubSupPr/>
          <m:e>
            <m:r>
              <m:t>s</m:t>
            </m:r>
          </m:e>
          <m:sub>
            <m:r>
              <m:t>i</m:t>
            </m:r>
          </m:sub>
          <m:sup>
            <m:r>
              <m:t>′</m:t>
            </m:r>
          </m:sup>
        </m:sSubSup>
        <m:r>
          <m:t> = clip(</m:t>
        </m:r>
        <m:sSub>
          <m:sSubPr/>
          <m:e>
            <m:r>
              <m:t>s</m:t>
            </m:r>
          </m:e>
          <m:sub>
            <m:r>
              <m:t>i</m:t>
            </m:r>
          </m:sub>
        </m:sSub>
        <m:r>
          <m:t> + </m:t>
        </m:r>
        <m:sSub>
          <m:sSubPr/>
          <m:e>
            <m:r>
              <m:t>δ</m:t>
            </m:r>
          </m:e>
          <m:sub>
            <m:r>
              <m:t>i</m:t>
            </m:r>
          </m:sub>
        </m:sSub>
        <m:r>
          <m:t>, 1, N-L-1)</m:t>
        </m:r>
      </m:oMath>
      <w:r>
        <w:rPr>
          <w:rFonts w:ascii="SimSun" w:cs="SimSun" w:eastAsia="SimSun" w:hAnsi="SimSun"/>
          <w:b w:val="false"/>
          <w:bCs w:val="false"/>
          <w:i w:val="false"/>
          <w:iCs w:val="false"/>
          <w:color w:val="000000"/>
          <w:sz w:val="24"/>
          <w:szCs w:val="24"/>
        </w:rPr>
        <w:t xml:space="preserve">	（1）</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式中，H为窗口步长，round表示取整，si为第i个规则窗口起点，δi为预设范围内的随机整数，N为源文件采样点数，clip表示区间截断，s'i为抖动后的中间窗口起点。首窗口起点0和末窗口起点N-L保持不变。</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步骤S2，针对每个音频窗口提取对数梅尔频谱M。先计算短时频谱功率并投影到梅尔滤波器组，再转换到分贝刻度。以M作为主输入，其频带数和时间帧数在同一预处理配置下固定。</w:t>
      </w:r>
    </w:p>
    <w:p>
      <w:pPr>
        <w:tabs>
          <w:tab w:val="center" w:pos="4513"/>
          <w:tab w:val="right" w:pos="9026"/>
        </w:tabs>
        <w:spacing w:after="140" w:before="120" w:line="300"/>
        <w:jc w:val="left"/>
      </w:pPr>
      <w:r>
        <w:rPr>
          <w:rFonts w:ascii="SimSun" w:cs="SimSun" w:eastAsia="SimSun" w:hAnsi="SimSun"/>
          <w:b w:val="false"/>
          <w:bCs w:val="false"/>
          <w:i w:val="false"/>
          <w:iCs w:val="false"/>
          <w:color w:val="000000"/>
          <w:sz w:val="24"/>
          <w:szCs w:val="24"/>
        </w:rPr>
        <w:t xml:space="preserve">	</w:t>
      </w:r>
      <m:oMath>
        <m:r>
          <m:t>M = 10 </m:t>
        </m:r>
        <m:sSub>
          <m:sSubPr/>
          <m:e>
            <m:r>
              <m:t>log</m:t>
            </m:r>
          </m:e>
          <m:sub>
            <m:r>
              <m:t>10</m:t>
            </m:r>
          </m:sub>
        </m:sSub>
        <m:r>
          <m:t>[</m:t>
        </m:r>
        <m:f>
          <m:num>
            <m:r>
              <m:t>Mel(</m:t>
            </m:r>
            <m:sSup>
              <m:sSupPr/>
              <m:e>
                <m:r>
                  <m:t>|STFT(x)|</m:t>
                </m:r>
              </m:e>
              <m:sup>
                <m:r>
                  <m:t>2</m:t>
                </m:r>
              </m:sup>
            </m:sSup>
            <m:r>
              <m:t>)</m:t>
            </m:r>
          </m:num>
          <m:den>
            <m:sSub>
              <m:sSubPr/>
              <m:e>
                <m:r>
                  <m:t>P</m:t>
                </m:r>
              </m:e>
              <m:sub>
                <m:r>
                  <m:t>ref</m:t>
                </m:r>
              </m:sub>
            </m:sSub>
          </m:den>
        </m:f>
        <m:r>
          <m:t>]</m:t>
        </m:r>
      </m:oMath>
      <w:r>
        <w:rPr>
          <w:rFonts w:ascii="SimSun" w:cs="SimSun" w:eastAsia="SimSun" w:hAnsi="SimSun"/>
          <w:b w:val="false"/>
          <w:bCs w:val="false"/>
          <w:i w:val="false"/>
          <w:iCs w:val="false"/>
          <w:color w:val="000000"/>
          <w:sz w:val="24"/>
          <w:szCs w:val="24"/>
        </w:rPr>
        <w:t xml:space="preserve">	（2）</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步骤S3，与主特征提取并行地提取辅助声学特征a。所述辅助声学特征包括十四维灰度共生矩阵统计量、七维Hu不变矩、四维频谱图梯度统计量、四维包络频域统计量和四维基础音频统计量，共三十三维。包络频域统计量由预设频带内的带通滤波信号经Hilbert变换获得；频谱纹理、形状及梯度统计量由归一化且尺寸固定的频谱图获得。</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步骤S4，仅使用训练数据集中的辅助声学特征拟合第一标准化器、主成分分析器、线性判别分析器和第二标准化器。将三十三维辅助声学特征经第一标准化器处理后投影至十二维主成分空间，再根据训练标签投影至线性判别空间，并对线性判别输出进行第二次标准化；在四类别实施例中形成三维低维辅助特征。拟合完成后固定全部特征变换参数，用于训练数据、验证数据和待分类数据的统一映射。</w:t>
      </w:r>
    </w:p>
    <w:p>
      <w:pPr>
        <w:tabs>
          <w:tab w:val="center" w:pos="4513"/>
          <w:tab w:val="right" w:pos="9026"/>
        </w:tabs>
        <w:spacing w:after="140" w:before="120" w:line="300"/>
        <w:jc w:val="left"/>
      </w:pPr>
      <w:r>
        <w:rPr>
          <w:rFonts w:ascii="SimSun" w:cs="SimSun" w:eastAsia="SimSun" w:hAnsi="SimSun"/>
          <w:b w:val="false"/>
          <w:bCs w:val="false"/>
          <w:i w:val="false"/>
          <w:iCs w:val="false"/>
          <w:color w:val="000000"/>
          <w:sz w:val="24"/>
          <w:szCs w:val="24"/>
        </w:rPr>
        <w:t xml:space="preserve">	</w:t>
      </w:r>
      <m:oMath>
        <m:r>
          <m:t>a′ = </m:t>
        </m:r>
        <m:sSub>
          <m:sSubPr/>
          <m:e>
            <m:r>
              <m:t>Scale</m:t>
            </m:r>
          </m:e>
          <m:sub>
            <m:r>
              <m:t>2</m:t>
            </m:r>
          </m:sub>
        </m:sSub>
        <m:r>
          <m:t>[LDA(PCA(</m:t>
        </m:r>
        <m:sSub>
          <m:sSubPr/>
          <m:e>
            <m:r>
              <m:t>Scale</m:t>
            </m:r>
          </m:e>
          <m:sub>
            <m:r>
              <m:t>1</m:t>
            </m:r>
          </m:sub>
        </m:sSub>
        <m:r>
          <m:t>(a)))]</m:t>
        </m:r>
      </m:oMath>
      <w:r>
        <w:rPr>
          <w:rFonts w:ascii="SimSun" w:cs="SimSun" w:eastAsia="SimSun" w:hAnsi="SimSun"/>
          <w:b w:val="false"/>
          <w:bCs w:val="false"/>
          <w:i w:val="false"/>
          <w:iCs w:val="false"/>
          <w:color w:val="000000"/>
          <w:sz w:val="24"/>
          <w:szCs w:val="24"/>
        </w:rPr>
        <w:t xml:space="preserve">	（3）</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步骤S5，将对数梅尔频谱输入四级二维卷积编码器。各级均采用3×3卷积核、步长2和填充1，输出通道数依次为32、64、128和256；每一卷积层之后连接组归一化层和SiLU激活层。对最后一级特征图分别执行全局平均池化和全局最大池化，获得表征整体响应和局部显著响应的两个256维向量，并沿通道维拼接为512维主特征向量。</w:t>
      </w:r>
    </w:p>
    <w:p>
      <w:pPr>
        <w:tabs>
          <w:tab w:val="center" w:pos="4513"/>
          <w:tab w:val="right" w:pos="9026"/>
        </w:tabs>
        <w:spacing w:after="140" w:before="120" w:line="300"/>
        <w:jc w:val="left"/>
      </w:pPr>
      <w:r>
        <w:rPr>
          <w:rFonts w:ascii="SimSun" w:cs="SimSun" w:eastAsia="SimSun" w:hAnsi="SimSun"/>
          <w:b w:val="false"/>
          <w:bCs w:val="false"/>
          <w:i w:val="false"/>
          <w:iCs w:val="false"/>
          <w:color w:val="000000"/>
          <w:sz w:val="24"/>
          <w:szCs w:val="24"/>
        </w:rPr>
        <w:t xml:space="preserve">	</w:t>
      </w:r>
      <m:oMath>
        <m:sSub>
          <m:sSubPr/>
          <m:e>
            <m:r>
              <m:t>h</m:t>
            </m:r>
          </m:e>
          <m:sub>
            <m:r>
              <m:t>main</m:t>
            </m:r>
          </m:sub>
        </m:sSub>
        <m:r>
          <m:t> = GAP(</m:t>
        </m:r>
        <m:sSub>
          <m:sSubPr/>
          <m:e>
            <m:r>
              <m:t>F</m:t>
            </m:r>
          </m:e>
          <m:sub>
            <m:r>
              <m:t>4</m:t>
            </m:r>
          </m:sub>
        </m:sSub>
        <m:r>
          <m:t>) ‖ GMP(</m:t>
        </m:r>
        <m:sSub>
          <m:sSubPr/>
          <m:e>
            <m:r>
              <m:t>F</m:t>
            </m:r>
          </m:e>
          <m:sub>
            <m:r>
              <m:t>4</m:t>
            </m:r>
          </m:sub>
        </m:sSub>
        <m:r>
          <m:t>)</m:t>
        </m:r>
      </m:oMath>
      <w:r>
        <w:rPr>
          <w:rFonts w:ascii="SimSun" w:cs="SimSun" w:eastAsia="SimSun" w:hAnsi="SimSun"/>
          <w:b w:val="false"/>
          <w:bCs w:val="false"/>
          <w:i w:val="false"/>
          <w:iCs w:val="false"/>
          <w:color w:val="000000"/>
          <w:sz w:val="24"/>
          <w:szCs w:val="24"/>
        </w:rPr>
        <w:t xml:space="preserve">	（4）</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步骤S6，将三维低维辅助特征输入辅助特征编码器，依次执行层归一化、3维至32维线性映射、SiLU激活、32维至32维线性映射、层归一化和SiLU激活，获得32维辅助嵌入向量。将512维主特征向量和32维辅助嵌入向量沿特征维拼接，再依次执行544维至256维线性映射、层归一化、SiLU激活和丢弃概率为0.4的Dropout，获得融合隐藏向量。</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步骤S7，通过两个相互独立的线性层分别将融合隐藏向量映射为16维潜变量均值向量μ和16维潜变量对数方差向量logvar，并将logvar的各分量限制在区间[-6,2]内。网络训练阶段按照缩放高斯重参数化方式生成潜变量z；网络验证和推理阶段不进行随机采样，直接令z=μ。</w:t>
      </w:r>
    </w:p>
    <w:p>
      <w:pPr>
        <w:tabs>
          <w:tab w:val="center" w:pos="4513"/>
          <w:tab w:val="right" w:pos="9026"/>
        </w:tabs>
        <w:spacing w:after="140" w:before="120" w:line="300"/>
        <w:jc w:val="left"/>
      </w:pPr>
      <w:r>
        <w:rPr>
          <w:rFonts w:ascii="SimSun" w:cs="SimSun" w:eastAsia="SimSun" w:hAnsi="SimSun"/>
          <w:b w:val="false"/>
          <w:bCs w:val="false"/>
          <w:i w:val="false"/>
          <w:iCs w:val="false"/>
          <w:color w:val="000000"/>
          <w:sz w:val="24"/>
          <w:szCs w:val="24"/>
        </w:rPr>
        <w:t xml:space="preserve">	</w:t>
      </w:r>
      <m:oMath>
        <m:r>
          <m:t>σ = exp[</m:t>
        </m:r>
        <m:f>
          <m:num>
            <m:r>
              <m:t>1</m:t>
            </m:r>
          </m:num>
          <m:den>
            <m:r>
              <m:t>2</m:t>
            </m:r>
          </m:den>
        </m:f>
        <m:r>
          <m:t> clip(logvar,-6,2)]</m:t>
        </m:r>
      </m:oMath>
      <w:r>
        <w:rPr>
          <w:rFonts w:ascii="SimSun" w:cs="SimSun" w:eastAsia="SimSun" w:hAnsi="SimSun"/>
          <w:b w:val="false"/>
          <w:bCs w:val="false"/>
          <w:i w:val="false"/>
          <w:iCs w:val="false"/>
          <w:color w:val="000000"/>
          <w:sz w:val="24"/>
          <w:szCs w:val="24"/>
        </w:rPr>
        <w:t xml:space="preserve">	（5）</w:t>
      </w:r>
    </w:p>
    <w:p>
      <w:pPr>
        <w:tabs>
          <w:tab w:val="center" w:pos="4513"/>
          <w:tab w:val="right" w:pos="9026"/>
        </w:tabs>
        <w:spacing w:after="140" w:before="120" w:line="300"/>
        <w:jc w:val="left"/>
      </w:pPr>
      <w:r>
        <w:rPr>
          <w:rFonts w:ascii="SimSun" w:cs="SimSun" w:eastAsia="SimSun" w:hAnsi="SimSun"/>
          <w:b w:val="false"/>
          <w:bCs w:val="false"/>
          <w:i w:val="false"/>
          <w:iCs w:val="false"/>
          <w:color w:val="000000"/>
          <w:sz w:val="24"/>
          <w:szCs w:val="24"/>
        </w:rPr>
        <w:t xml:space="preserve">	</w:t>
      </w:r>
      <m:oMath>
        <m:r>
          <m:t>z = μ + λ·ε·σ,    ε ∼ N(0,I)</m:t>
        </m:r>
      </m:oMath>
      <w:r>
        <w:rPr>
          <w:rFonts w:ascii="SimSun" w:cs="SimSun" w:eastAsia="SimSun" w:hAnsi="SimSun"/>
          <w:b w:val="false"/>
          <w:bCs w:val="false"/>
          <w:i w:val="false"/>
          <w:iCs w:val="false"/>
          <w:color w:val="000000"/>
          <w:sz w:val="24"/>
          <w:szCs w:val="24"/>
        </w:rPr>
        <w:t xml:space="preserve">	（6）</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式中，σ为潜变量标准差向量，clip表示逐分量截断，ε为服从标准多元高斯分布N(0,I)的随机向量，λ为非负潜变量噪声比例；具体实施例中λ取0.1，以限制随机扰动幅度。</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步骤S8，将潜变量依次输入层归一化层、16维至128维线性层、SiLU激活层、丢弃概率为0.4的Dropout层以及128维至目标类别数的输出层，获得各目标类别对应的未归一化分值o。采用标签平滑系数为0.05的交叉熵损失训练网络。</w:t>
      </w:r>
    </w:p>
    <w:p>
      <w:pPr>
        <w:tabs>
          <w:tab w:val="center" w:pos="4513"/>
          <w:tab w:val="right" w:pos="9026"/>
        </w:tabs>
        <w:spacing w:after="140" w:before="120" w:line="300"/>
        <w:jc w:val="left"/>
      </w:pPr>
      <w:r>
        <w:rPr>
          <w:rFonts w:ascii="SimSun" w:cs="SimSun" w:eastAsia="SimSun" w:hAnsi="SimSun"/>
          <w:b w:val="false"/>
          <w:bCs w:val="false"/>
          <w:i w:val="false"/>
          <w:iCs w:val="false"/>
          <w:color w:val="000000"/>
          <w:sz w:val="24"/>
          <w:szCs w:val="24"/>
        </w:rPr>
        <w:t xml:space="preserve">	</w:t>
      </w:r>
      <m:oMath>
        <m:sSub>
          <m:sSubPr/>
          <m:e>
            <m:r>
              <m:t>L</m:t>
            </m:r>
          </m:e>
          <m:sub>
            <m:r>
              <m:t>CE</m:t>
            </m:r>
          </m:sub>
        </m:sSub>
        <m:r>
          <m:t> = -</m:t>
        </m:r>
        <m:nary>
          <m:naryPr>
            <m:chr m:val="∑"/>
            <m:limLoc m:val="undOvr"/>
          </m:naryPr>
          <m:sub>
            <m:r>
              <m:t>k=1</m:t>
            </m:r>
          </m:sub>
          <m:sup>
            <m:r>
              <m:t>K</m:t>
            </m:r>
          </m:sup>
          <m:e>
            <m:sSubSup>
              <m:sSubSupPr/>
              <m:e>
                <m:r>
                  <m:t>y</m:t>
                </m:r>
              </m:e>
              <m:sub>
                <m:r>
                  <m:t>k</m:t>
                </m:r>
              </m:sub>
              <m:sup>
                <m:r>
                  <m:t>′</m:t>
                </m:r>
              </m:sup>
            </m:sSubSup>
            <m:r>
              <m:t> log </m:t>
            </m:r>
            <m:sSub>
              <m:sSubPr/>
              <m:e>
                <m:r>
                  <m:t>p</m:t>
                </m:r>
              </m:e>
              <m:sub>
                <m:r>
                  <m:t>k</m:t>
                </m:r>
              </m:sub>
            </m:sSub>
          </m:e>
        </m:nary>
        <m:r>
          <m:t>,    </m:t>
        </m:r>
        <m:sSubSup>
          <m:sSubSupPr/>
          <m:e>
            <m:r>
              <m:t>y</m:t>
            </m:r>
          </m:e>
          <m:sub>
            <m:r>
              <m:t>k</m:t>
            </m:r>
          </m:sub>
          <m:sup>
            <m:r>
              <m:t>′</m:t>
            </m:r>
          </m:sup>
        </m:sSubSup>
        <m:r>
          <m:t> = (1-α)</m:t>
        </m:r>
        <m:sSub>
          <m:sSubPr/>
          <m:e>
            <m:r>
              <m:t>y</m:t>
            </m:r>
          </m:e>
          <m:sub>
            <m:r>
              <m:t>k</m:t>
            </m:r>
          </m:sub>
        </m:sSub>
        <m:r>
          <m:t> + </m:t>
        </m:r>
        <m:f>
          <m:num>
            <m:r>
              <m:t>α</m:t>
            </m:r>
          </m:num>
          <m:den>
            <m:r>
              <m:t>K</m:t>
            </m:r>
          </m:den>
        </m:f>
      </m:oMath>
      <w:r>
        <w:rPr>
          <w:rFonts w:ascii="SimSun" w:cs="SimSun" w:eastAsia="SimSun" w:hAnsi="SimSun"/>
          <w:b w:val="false"/>
          <w:bCs w:val="false"/>
          <w:i w:val="false"/>
          <w:iCs w:val="false"/>
          <w:color w:val="000000"/>
          <w:sz w:val="24"/>
          <w:szCs w:val="24"/>
        </w:rPr>
        <w:t xml:space="preserve">	（7）</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式中，K为目标类别数，pk为对未归一化分值o执行Softmax运算后得到的第k类预测概率，yk为第k类真实标签分量，y'k为标签平滑后的第k类标签分量，α为标签平滑系数。</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步骤S9，在部署阶段固定主网络参数和特征变换器参数。针对待分类源文件的每一音频窗口执行步骤S2至S8，获得窗口级类别输出；对属于同一待分类源文件的多个窗口级类别输出执行算术平均、置信度加权平均或多数投票，获得源文件级目标类别。</w:t>
      </w:r>
    </w:p>
    <w:p>
      <w:pPr>
        <w:pStyle w:val="Heading2"/>
        <w:keepNext/>
        <w:spacing w:after="160" w:before="220"/>
        <w:jc w:val="left"/>
      </w:pPr>
      <w:r>
        <w:rPr>
          <w:rFonts w:ascii="SimHei" w:cs="SimHei" w:eastAsia="SimHei" w:hAnsi="SimHei"/>
          <w:b/>
          <w:bCs/>
          <w:i w:val="false"/>
          <w:iCs w:val="false"/>
          <w:color w:val="000000"/>
          <w:sz w:val="28"/>
          <w:szCs w:val="28"/>
        </w:rPr>
        <w:t xml:space="preserve">三、有益效果</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第一，通过以源文件为分组单位划分训练数据和验证数据，并在源文件之间实施窗口限额和平衡采样，避免同一源文件的相关窗口跨数据集分布，降低源文件时长和窗口数量差异对训练梯度及验证结果的影响。</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第二，通过双全局池化获得时频特征图的整体响应和局部显著响应，并引入频谱纹理、形状、梯度、包络及基础音频统计特性，扩展单一对数梅尔频谱的表征范围；辅助声学特征的标准化和降维参数仅由训练数据确定，从特征处理层面避免验证信息进入训练过程。</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第三，通过均值向量与对数方差向量参数化潜变量，在训练阶段向潜变量施加幅度受限的随机扰动，使分类器针对潜变量邻域进行优化；在验证和推理阶段直接使用均值向量，保证同一输入对应确定的分类输出。</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在本申请的三次配对实施例中，PVSC-Net的平均窗口级准确率为80.54%，相较确定性融合对照模型和仅频谱概率对照模型分别提高3.22个百分点和6.37个百分点。上述实验结果用于说明本发明具体实施方式的可实施性及相应技术手段的作用，不构成对本发明保护范围的限定。</w:t>
      </w:r>
    </w:p>
    <w:p>
      <w:pPr>
        <w:pStyle w:val="Heading1"/>
        <w:keepNext/>
        <w:spacing w:after="160" w:before="220"/>
        <w:jc w:val="left"/>
      </w:pPr>
      <w:r>
        <w:rPr>
          <w:rFonts w:ascii="SimHei" w:cs="SimHei" w:eastAsia="SimHei" w:hAnsi="SimHei"/>
          <w:b/>
          <w:bCs/>
          <w:i w:val="false"/>
          <w:iCs w:val="false"/>
          <w:color w:val="000000"/>
          <w:sz w:val="32"/>
          <w:szCs w:val="32"/>
        </w:rPr>
        <w:t xml:space="preserve">附图说明</w:t>
      </w:r>
    </w:p>
    <w:p>
      <w:pPr>
        <w:keepNext w:val="false"/>
        <w:spacing w:after="120" w:before="0" w:line="360"/>
        <w:jc w:val="both"/>
      </w:pPr>
      <w:r>
        <w:rPr>
          <w:rFonts w:ascii="SimSun" w:cs="SimSun" w:eastAsia="SimSun" w:hAnsi="SimSun"/>
          <w:b w:val="false"/>
          <w:bCs w:val="false"/>
          <w:i w:val="false"/>
          <w:iCs w:val="false"/>
          <w:color w:val="000000"/>
          <w:sz w:val="24"/>
          <w:szCs w:val="24"/>
        </w:rPr>
        <w:t xml:space="preserve">图1为本发明PVSC-Net网络结构示意图；</w:t>
      </w:r>
    </w:p>
    <w:p>
      <w:pPr>
        <w:keepNext w:val="false"/>
        <w:spacing w:after="120" w:before="0" w:line="360"/>
        <w:jc w:val="both"/>
      </w:pPr>
      <w:r>
        <w:rPr>
          <w:rFonts w:ascii="SimSun" w:cs="SimSun" w:eastAsia="SimSun" w:hAnsi="SimSun"/>
          <w:b w:val="false"/>
          <w:bCs w:val="false"/>
          <w:i w:val="false"/>
          <w:iCs w:val="false"/>
          <w:color w:val="000000"/>
          <w:sz w:val="24"/>
          <w:szCs w:val="24"/>
        </w:rPr>
        <w:t xml:space="preserve">图2为PVSC-Net与两个受控对照模型的三种子窗口级准确率比较图；</w:t>
      </w:r>
    </w:p>
    <w:p>
      <w:pPr>
        <w:keepNext w:val="false"/>
        <w:spacing w:after="120" w:before="0" w:line="360"/>
        <w:jc w:val="both"/>
      </w:pPr>
      <w:r>
        <w:rPr>
          <w:rFonts w:ascii="SimSun" w:cs="SimSun" w:eastAsia="SimSun" w:hAnsi="SimSun"/>
          <w:b w:val="false"/>
          <w:bCs w:val="false"/>
          <w:i w:val="false"/>
          <w:iCs w:val="false"/>
          <w:color w:val="000000"/>
          <w:sz w:val="24"/>
          <w:szCs w:val="24"/>
        </w:rPr>
        <w:t xml:space="preserve">图3为种子2026实验中PVSC-Net的窗口级混淆矩阵。</w:t>
      </w:r>
    </w:p>
    <w:p>
      <w:pPr>
        <w:pStyle w:val="Heading1"/>
        <w:keepNext/>
        <w:spacing w:after="160" w:before="220"/>
        <w:jc w:val="left"/>
      </w:pPr>
      <w:r>
        <w:rPr>
          <w:rFonts w:ascii="SimHei" w:cs="SimHei" w:eastAsia="SimHei" w:hAnsi="SimHei"/>
          <w:b/>
          <w:bCs/>
          <w:i w:val="false"/>
          <w:iCs w:val="false"/>
          <w:color w:val="000000"/>
          <w:sz w:val="32"/>
          <w:szCs w:val="32"/>
        </w:rPr>
        <w:t xml:space="preserve">具体实施方式</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下面结合附图和具体实施例对本发明作进一步说明。所述实施例给出了数据处理、网络构建、训练及验证的一种可行方式，用于说明本发明技术方案能够被实施，不应据此将本发明的保护范围限定为所列参数、目标类别或设备环境。</w:t>
      </w:r>
    </w:p>
    <w:p>
      <w:pPr>
        <w:pStyle w:val="Heading2"/>
        <w:keepNext/>
        <w:spacing w:after="160" w:before="220"/>
        <w:jc w:val="left"/>
      </w:pPr>
      <w:r>
        <w:rPr>
          <w:rFonts w:ascii="SimHei" w:cs="SimHei" w:eastAsia="SimHei" w:hAnsi="SimHei"/>
          <w:b/>
          <w:bCs/>
          <w:i w:val="false"/>
          <w:iCs w:val="false"/>
          <w:color w:val="000000"/>
          <w:sz w:val="28"/>
          <w:szCs w:val="28"/>
        </w:rPr>
        <w:t xml:space="preserve">实施例一：数据构建与无泄漏划分</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本实施例的原始数据包括63个WAV源文件，目标类别为货船、客船、油轮和拖船四类。音频统一重采样为16000 Hz，以5 s即80000个采样点为窗口；窗口重叠率为75%，步长为20000个采样点即1.25 s，中间窗口起点抖动范围为正负4000个采样点。共生成4416个窗口。</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针对每一窗口生成64×157的对数梅尔频谱和33维辅助声学特征。数据划分采用按目标类别分层的源文件分组留出方式，验证数据比例设为0.2。不同随机种子对应的验证数据包含12个或13个源文件，且每次划分中的训练源文件集合与验证源文件集合均无交集。对数梅尔频谱的全局最小值和取值范围仅由训练窗口确定；辅助特征变换器仅利用训练数据中按类别和源文件限额平衡抽取的1024个窗口进行拟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626"/>
      </w:tblGrid>
      <w:tr>
        <w:trPr>
          <w:tblHeader/>
        </w:trPr>
        <w:tc>
          <w:tcPr>
            <w:tcW w:type="dxa" w:w="2100"/>
            <w:tcBorders>
              <w:top w:val="single" w:color="777777" w:sz="4"/>
              <w:left w:val="single" w:color="777777" w:sz="4"/>
              <w:bottom w:val="single" w:color="777777" w:sz="4"/>
              <w:right w:val="single" w:color="777777" w:sz="4"/>
            </w:tcBorders>
            <w:shd w:fill="D9EAF7" w:val="clear"/>
            <w:tcMar>
              <w:top w:type="dxa" w:w="90"/>
              <w:left w:type="dxa" w:w="100"/>
              <w:bottom w:type="dxa" w:w="90"/>
              <w:right w:type="dxa" w:w="100"/>
            </w:tcMar>
            <w:vAlign w:val="center"/>
          </w:tcPr>
          <w:p>
            <w:pPr>
              <w:spacing w:after="0" w:before="0" w:line="280"/>
              <w:jc w:val="center"/>
            </w:pPr>
            <w:r>
              <w:rPr>
                <w:rFonts w:ascii="SimSun" w:cs="SimSun" w:eastAsia="SimSun" w:hAnsi="SimSun"/>
                <w:b/>
                <w:bCs/>
                <w:i w:val="false"/>
                <w:iCs w:val="false"/>
                <w:color w:val="000000"/>
                <w:sz w:val="20"/>
                <w:szCs w:val="20"/>
              </w:rPr>
              <w:t xml:space="preserve">预处理项目</w:t>
            </w:r>
          </w:p>
        </w:tc>
        <w:tc>
          <w:tcPr>
            <w:tcW w:type="dxa" w:w="2300"/>
            <w:tcBorders>
              <w:top w:val="single" w:color="777777" w:sz="4"/>
              <w:left w:val="single" w:color="777777" w:sz="4"/>
              <w:bottom w:val="single" w:color="777777" w:sz="4"/>
              <w:right w:val="single" w:color="777777" w:sz="4"/>
            </w:tcBorders>
            <w:shd w:fill="D9EAF7" w:val="clear"/>
            <w:tcMar>
              <w:top w:type="dxa" w:w="90"/>
              <w:left w:type="dxa" w:w="100"/>
              <w:bottom w:type="dxa" w:w="90"/>
              <w:right w:type="dxa" w:w="100"/>
            </w:tcMar>
            <w:vAlign w:val="center"/>
          </w:tcPr>
          <w:p>
            <w:pPr>
              <w:spacing w:after="0" w:before="0" w:line="280"/>
              <w:jc w:val="center"/>
            </w:pPr>
            <w:r>
              <w:rPr>
                <w:rFonts w:ascii="SimSun" w:cs="SimSun" w:eastAsia="SimSun" w:hAnsi="SimSun"/>
                <w:b/>
                <w:bCs/>
                <w:i w:val="false"/>
                <w:iCs w:val="false"/>
                <w:color w:val="000000"/>
                <w:sz w:val="20"/>
                <w:szCs w:val="20"/>
              </w:rPr>
              <w:t xml:space="preserve">实施值</w:t>
            </w:r>
          </w:p>
        </w:tc>
        <w:tc>
          <w:tcPr>
            <w:tcW w:type="dxa" w:w="4626"/>
            <w:tcBorders>
              <w:top w:val="single" w:color="777777" w:sz="4"/>
              <w:left w:val="single" w:color="777777" w:sz="4"/>
              <w:bottom w:val="single" w:color="777777" w:sz="4"/>
              <w:right w:val="single" w:color="777777" w:sz="4"/>
            </w:tcBorders>
            <w:shd w:fill="D9EAF7" w:val="clear"/>
            <w:tcMar>
              <w:top w:type="dxa" w:w="90"/>
              <w:left w:type="dxa" w:w="100"/>
              <w:bottom w:type="dxa" w:w="90"/>
              <w:right w:type="dxa" w:w="100"/>
            </w:tcMar>
            <w:vAlign w:val="center"/>
          </w:tcPr>
          <w:p>
            <w:pPr>
              <w:spacing w:after="0" w:before="0" w:line="280"/>
              <w:jc w:val="center"/>
            </w:pPr>
            <w:r>
              <w:rPr>
                <w:rFonts w:ascii="SimSun" w:cs="SimSun" w:eastAsia="SimSun" w:hAnsi="SimSun"/>
                <w:b/>
                <w:bCs/>
                <w:i w:val="false"/>
                <w:iCs w:val="false"/>
                <w:color w:val="000000"/>
                <w:sz w:val="20"/>
                <w:szCs w:val="20"/>
              </w:rPr>
              <w:t xml:space="preserve">说明</w:t>
            </w:r>
          </w:p>
        </w:tc>
      </w:tr>
      <w:tr>
        <w:trPr>
          <w:cantSplit/>
        </w:trPr>
        <w:tc>
          <w:tcPr>
            <w:tcW w:type="dxa" w:w="2100"/>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20"/>
                <w:szCs w:val="20"/>
              </w:rPr>
              <w:t xml:space="preserve">目标类别</w:t>
            </w:r>
          </w:p>
        </w:tc>
        <w:tc>
          <w:tcPr>
            <w:tcW w:type="dxa" w:w="2300"/>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center"/>
            </w:pPr>
            <w:r>
              <w:rPr>
                <w:rFonts w:ascii="SimSun" w:cs="SimSun" w:eastAsia="SimSun" w:hAnsi="SimSun"/>
                <w:b w:val="false"/>
                <w:bCs w:val="false"/>
                <w:i w:val="false"/>
                <w:iCs w:val="false"/>
                <w:color w:val="000000"/>
                <w:sz w:val="20"/>
                <w:szCs w:val="20"/>
              </w:rPr>
              <w:t xml:space="preserve">4类</w:t>
            </w:r>
          </w:p>
        </w:tc>
        <w:tc>
          <w:tcPr>
            <w:tcW w:type="dxa" w:w="4626"/>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20"/>
                <w:szCs w:val="20"/>
              </w:rPr>
              <w:t xml:space="preserve">货船、客船、油轮、拖船</w:t>
            </w:r>
          </w:p>
        </w:tc>
      </w:tr>
      <w:tr>
        <w:trPr>
          <w:cantSplit/>
        </w:trPr>
        <w:tc>
          <w:tcPr>
            <w:tcW w:type="dxa" w:w="2100"/>
            <w:tcBorders>
              <w:top w:val="single" w:color="777777" w:sz="4"/>
              <w:left w:val="single" w:color="777777" w:sz="4"/>
              <w:bottom w:val="single" w:color="777777" w:sz="4"/>
              <w:right w:val="single" w:color="777777" w:sz="4"/>
            </w:tcBorders>
            <w:shd w:fill="F7F7F7" w:val="clear"/>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20"/>
                <w:szCs w:val="20"/>
              </w:rPr>
              <w:t xml:space="preserve">源文件/窗口</w:t>
            </w:r>
          </w:p>
        </w:tc>
        <w:tc>
          <w:tcPr>
            <w:tcW w:type="dxa" w:w="2300"/>
            <w:tcBorders>
              <w:top w:val="single" w:color="777777" w:sz="4"/>
              <w:left w:val="single" w:color="777777" w:sz="4"/>
              <w:bottom w:val="single" w:color="777777" w:sz="4"/>
              <w:right w:val="single" w:color="777777" w:sz="4"/>
            </w:tcBorders>
            <w:shd w:fill="F7F7F7" w:val="clear"/>
            <w:tcMar>
              <w:top w:type="dxa" w:w="90"/>
              <w:left w:type="dxa" w:w="100"/>
              <w:bottom w:type="dxa" w:w="90"/>
              <w:right w:type="dxa" w:w="100"/>
            </w:tcMar>
            <w:vAlign w:val="center"/>
          </w:tcPr>
          <w:p>
            <w:pPr>
              <w:spacing w:after="0" w:before="0" w:line="280"/>
              <w:jc w:val="center"/>
            </w:pPr>
            <w:r>
              <w:rPr>
                <w:rFonts w:ascii="SimSun" w:cs="SimSun" w:eastAsia="SimSun" w:hAnsi="SimSun"/>
                <w:b w:val="false"/>
                <w:bCs w:val="false"/>
                <w:i w:val="false"/>
                <w:iCs w:val="false"/>
                <w:color w:val="000000"/>
                <w:sz w:val="20"/>
                <w:szCs w:val="20"/>
              </w:rPr>
              <w:t xml:space="preserve">63 / 4416</w:t>
            </w:r>
          </w:p>
        </w:tc>
        <w:tc>
          <w:tcPr>
            <w:tcW w:type="dxa" w:w="4626"/>
            <w:tcBorders>
              <w:top w:val="single" w:color="777777" w:sz="4"/>
              <w:left w:val="single" w:color="777777" w:sz="4"/>
              <w:bottom w:val="single" w:color="777777" w:sz="4"/>
              <w:right w:val="single" w:color="777777" w:sz="4"/>
            </w:tcBorders>
            <w:shd w:fill="F7F7F7" w:val="clear"/>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20"/>
                <w:szCs w:val="20"/>
              </w:rPr>
              <w:t xml:space="preserve">窗口保留源文件标识</w:t>
            </w:r>
          </w:p>
        </w:tc>
      </w:tr>
      <w:tr>
        <w:trPr>
          <w:cantSplit/>
        </w:trPr>
        <w:tc>
          <w:tcPr>
            <w:tcW w:type="dxa" w:w="2100"/>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20"/>
                <w:szCs w:val="20"/>
              </w:rPr>
              <w:t xml:space="preserve">采样率</w:t>
            </w:r>
          </w:p>
        </w:tc>
        <w:tc>
          <w:tcPr>
            <w:tcW w:type="dxa" w:w="2300"/>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center"/>
            </w:pPr>
            <w:r>
              <w:rPr>
                <w:rFonts w:ascii="SimSun" w:cs="SimSun" w:eastAsia="SimSun" w:hAnsi="SimSun"/>
                <w:b w:val="false"/>
                <w:bCs w:val="false"/>
                <w:i w:val="false"/>
                <w:iCs w:val="false"/>
                <w:color w:val="000000"/>
                <w:sz w:val="20"/>
                <w:szCs w:val="20"/>
              </w:rPr>
              <w:t xml:space="preserve">16000 Hz</w:t>
            </w:r>
          </w:p>
        </w:tc>
        <w:tc>
          <w:tcPr>
            <w:tcW w:type="dxa" w:w="4626"/>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20"/>
                <w:szCs w:val="20"/>
              </w:rPr>
              <w:t xml:space="preserve">统一重采样</w:t>
            </w:r>
          </w:p>
        </w:tc>
      </w:tr>
      <w:tr>
        <w:trPr>
          <w:cantSplit/>
        </w:trPr>
        <w:tc>
          <w:tcPr>
            <w:tcW w:type="dxa" w:w="2100"/>
            <w:tcBorders>
              <w:top w:val="single" w:color="777777" w:sz="4"/>
              <w:left w:val="single" w:color="777777" w:sz="4"/>
              <w:bottom w:val="single" w:color="777777" w:sz="4"/>
              <w:right w:val="single" w:color="777777" w:sz="4"/>
            </w:tcBorders>
            <w:shd w:fill="F7F7F7" w:val="clear"/>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20"/>
                <w:szCs w:val="20"/>
              </w:rPr>
              <w:t xml:space="preserve">窗口</w:t>
            </w:r>
          </w:p>
        </w:tc>
        <w:tc>
          <w:tcPr>
            <w:tcW w:type="dxa" w:w="2300"/>
            <w:tcBorders>
              <w:top w:val="single" w:color="777777" w:sz="4"/>
              <w:left w:val="single" w:color="777777" w:sz="4"/>
              <w:bottom w:val="single" w:color="777777" w:sz="4"/>
              <w:right w:val="single" w:color="777777" w:sz="4"/>
            </w:tcBorders>
            <w:shd w:fill="F7F7F7" w:val="clear"/>
            <w:tcMar>
              <w:top w:type="dxa" w:w="90"/>
              <w:left w:type="dxa" w:w="100"/>
              <w:bottom w:type="dxa" w:w="90"/>
              <w:right w:type="dxa" w:w="100"/>
            </w:tcMar>
            <w:vAlign w:val="center"/>
          </w:tcPr>
          <w:p>
            <w:pPr>
              <w:spacing w:after="0" w:before="0" w:line="280"/>
              <w:jc w:val="center"/>
            </w:pPr>
            <w:r>
              <w:rPr>
                <w:rFonts w:ascii="SimSun" w:cs="SimSun" w:eastAsia="SimSun" w:hAnsi="SimSun"/>
                <w:b w:val="false"/>
                <w:bCs w:val="false"/>
                <w:i w:val="false"/>
                <w:iCs w:val="false"/>
                <w:color w:val="000000"/>
                <w:sz w:val="20"/>
                <w:szCs w:val="20"/>
              </w:rPr>
              <w:t xml:space="preserve">5 s，重叠75%</w:t>
            </w:r>
          </w:p>
        </w:tc>
        <w:tc>
          <w:tcPr>
            <w:tcW w:type="dxa" w:w="4626"/>
            <w:tcBorders>
              <w:top w:val="single" w:color="777777" w:sz="4"/>
              <w:left w:val="single" w:color="777777" w:sz="4"/>
              <w:bottom w:val="single" w:color="777777" w:sz="4"/>
              <w:right w:val="single" w:color="777777" w:sz="4"/>
            </w:tcBorders>
            <w:shd w:fill="F7F7F7" w:val="clear"/>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20"/>
                <w:szCs w:val="20"/>
              </w:rPr>
              <w:t xml:space="preserve">步长1.25 s</w:t>
            </w:r>
          </w:p>
        </w:tc>
      </w:tr>
      <w:tr>
        <w:trPr>
          <w:cantSplit/>
        </w:trPr>
        <w:tc>
          <w:tcPr>
            <w:tcW w:type="dxa" w:w="2100"/>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20"/>
                <w:szCs w:val="20"/>
              </w:rPr>
              <w:t xml:space="preserve">起点抖动</w:t>
            </w:r>
          </w:p>
        </w:tc>
        <w:tc>
          <w:tcPr>
            <w:tcW w:type="dxa" w:w="2300"/>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center"/>
            </w:pPr>
            <w:r>
              <w:rPr>
                <w:rFonts w:ascii="SimSun" w:cs="SimSun" w:eastAsia="SimSun" w:hAnsi="SimSun"/>
                <w:b w:val="false"/>
                <w:bCs w:val="false"/>
                <w:i w:val="false"/>
                <w:iCs w:val="false"/>
                <w:color w:val="000000"/>
                <w:sz w:val="20"/>
                <w:szCs w:val="20"/>
              </w:rPr>
              <w:t xml:space="preserve">±4000采样点</w:t>
            </w:r>
          </w:p>
        </w:tc>
        <w:tc>
          <w:tcPr>
            <w:tcW w:type="dxa" w:w="4626"/>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20"/>
                <w:szCs w:val="20"/>
              </w:rPr>
              <w:t xml:space="preserve">抖动比例0.2</w:t>
            </w:r>
          </w:p>
        </w:tc>
      </w:tr>
      <w:tr>
        <w:trPr>
          <w:cantSplit/>
        </w:trPr>
        <w:tc>
          <w:tcPr>
            <w:tcW w:type="dxa" w:w="2100"/>
            <w:tcBorders>
              <w:top w:val="single" w:color="777777" w:sz="4"/>
              <w:left w:val="single" w:color="777777" w:sz="4"/>
              <w:bottom w:val="single" w:color="777777" w:sz="4"/>
              <w:right w:val="single" w:color="777777" w:sz="4"/>
            </w:tcBorders>
            <w:shd w:fill="F7F7F7" w:val="clear"/>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20"/>
                <w:szCs w:val="20"/>
              </w:rPr>
              <w:t xml:space="preserve">主特征</w:t>
            </w:r>
          </w:p>
        </w:tc>
        <w:tc>
          <w:tcPr>
            <w:tcW w:type="dxa" w:w="2300"/>
            <w:tcBorders>
              <w:top w:val="single" w:color="777777" w:sz="4"/>
              <w:left w:val="single" w:color="777777" w:sz="4"/>
              <w:bottom w:val="single" w:color="777777" w:sz="4"/>
              <w:right w:val="single" w:color="777777" w:sz="4"/>
            </w:tcBorders>
            <w:shd w:fill="F7F7F7" w:val="clear"/>
            <w:tcMar>
              <w:top w:type="dxa" w:w="90"/>
              <w:left w:type="dxa" w:w="100"/>
              <w:bottom w:type="dxa" w:w="90"/>
              <w:right w:type="dxa" w:w="100"/>
            </w:tcMar>
            <w:vAlign w:val="center"/>
          </w:tcPr>
          <w:p>
            <w:pPr>
              <w:spacing w:after="0" w:before="0" w:line="280"/>
              <w:jc w:val="center"/>
            </w:pPr>
            <w:r>
              <w:rPr>
                <w:rFonts w:ascii="SimSun" w:cs="SimSun" w:eastAsia="SimSun" w:hAnsi="SimSun"/>
                <w:b w:val="false"/>
                <w:bCs w:val="false"/>
                <w:i w:val="false"/>
                <w:iCs w:val="false"/>
                <w:color w:val="000000"/>
                <w:sz w:val="20"/>
                <w:szCs w:val="20"/>
              </w:rPr>
              <w:t xml:space="preserve">64×157</w:t>
            </w:r>
          </w:p>
        </w:tc>
        <w:tc>
          <w:tcPr>
            <w:tcW w:type="dxa" w:w="4626"/>
            <w:tcBorders>
              <w:top w:val="single" w:color="777777" w:sz="4"/>
              <w:left w:val="single" w:color="777777" w:sz="4"/>
              <w:bottom w:val="single" w:color="777777" w:sz="4"/>
              <w:right w:val="single" w:color="777777" w:sz="4"/>
            </w:tcBorders>
            <w:shd w:fill="F7F7F7" w:val="clear"/>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20"/>
                <w:szCs w:val="20"/>
              </w:rPr>
              <w:t xml:space="preserve">对数梅尔频谱</w:t>
            </w:r>
          </w:p>
        </w:tc>
      </w:tr>
      <w:tr>
        <w:trPr>
          <w:cantSplit/>
        </w:trPr>
        <w:tc>
          <w:tcPr>
            <w:tcW w:type="dxa" w:w="2100"/>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20"/>
                <w:szCs w:val="20"/>
              </w:rPr>
              <w:t xml:space="preserve">辅助特征</w:t>
            </w:r>
          </w:p>
        </w:tc>
        <w:tc>
          <w:tcPr>
            <w:tcW w:type="dxa" w:w="2300"/>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center"/>
            </w:pPr>
            <w:r>
              <w:rPr>
                <w:rFonts w:ascii="SimSun" w:cs="SimSun" w:eastAsia="SimSun" w:hAnsi="SimSun"/>
                <w:b w:val="false"/>
                <w:bCs w:val="false"/>
                <w:i w:val="false"/>
                <w:iCs w:val="false"/>
                <w:color w:val="000000"/>
                <w:sz w:val="20"/>
                <w:szCs w:val="20"/>
              </w:rPr>
              <w:t xml:space="preserve">33维→PCA12→LDA3</w:t>
            </w:r>
          </w:p>
        </w:tc>
        <w:tc>
          <w:tcPr>
            <w:tcW w:type="dxa" w:w="4626"/>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20"/>
                <w:szCs w:val="20"/>
              </w:rPr>
              <w:t xml:space="preserve">选择器仅在训练集拟合</w:t>
            </w:r>
          </w:p>
        </w:tc>
      </w:tr>
    </w:tbl>
    <w:p>
      <w:pPr>
        <w:keepNext/>
        <w:spacing w:after="200" w:before="80"/>
        <w:jc w:val="center"/>
      </w:pPr>
      <w:r>
        <w:rPr>
          <w:rFonts w:ascii="SimSun" w:cs="SimSun" w:eastAsia="SimSun" w:hAnsi="SimSun"/>
          <w:b w:val="false"/>
          <w:bCs w:val="false"/>
          <w:i w:val="false"/>
          <w:iCs w:val="false"/>
          <w:color w:val="000000"/>
          <w:sz w:val="21"/>
          <w:szCs w:val="21"/>
        </w:rPr>
        <w:t xml:space="preserve">表1  数据与预处理参数</w:t>
      </w:r>
    </w:p>
    <w:p>
      <w:pPr>
        <w:pStyle w:val="Heading2"/>
        <w:keepNext/>
        <w:spacing w:after="160" w:before="220"/>
        <w:jc w:val="left"/>
      </w:pPr>
      <w:r>
        <w:rPr>
          <w:rFonts w:ascii="SimHei" w:cs="SimHei" w:eastAsia="SimHei" w:hAnsi="SimHei"/>
          <w:b/>
          <w:bCs/>
          <w:i w:val="false"/>
          <w:iCs w:val="false"/>
          <w:color w:val="000000"/>
          <w:sz w:val="28"/>
          <w:szCs w:val="28"/>
        </w:rPr>
        <w:t xml:space="preserve">实施例二：PVSC-Net网络</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本实施例采用的PVSC-Net结构如图1所示。主特征支路通过四级二维卷积将单通道时频图映射为256通道特征图。各卷积单元采用组归一化，以降低网络对较大批量统计量的依赖。全局平均池化用于汇聚整体响应，全局最大池化用于保留局部显著响应，两者沿通道维拼接形成主特征向量。</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辅助特征支路将三维低维辅助特征编码为32维辅助嵌入向量，并与512维主特征向量拼接。融合层输出256维融合隐藏向量，潜变量均值分支和潜变量对数方差分支分别输出16维向量。潜变量对数方差分支的权重初始化为零、偏置初始化为-2，以限制训练初始阶段的潜变量标准差。网络总参数量为540554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3000"/>
        <w:gridCol w:w="4176"/>
      </w:tblGrid>
      <w:tr>
        <w:trPr>
          <w:tblHeader/>
        </w:trPr>
        <w:tc>
          <w:tcPr>
            <w:tcW w:type="dxa" w:w="1850"/>
            <w:tcBorders>
              <w:top w:val="single" w:color="777777" w:sz="4"/>
              <w:left w:val="single" w:color="777777" w:sz="4"/>
              <w:bottom w:val="single" w:color="777777" w:sz="4"/>
              <w:right w:val="single" w:color="777777" w:sz="4"/>
            </w:tcBorders>
            <w:shd w:fill="D9EAF7" w:val="clear"/>
            <w:tcMar>
              <w:top w:type="dxa" w:w="90"/>
              <w:left w:type="dxa" w:w="100"/>
              <w:bottom w:type="dxa" w:w="90"/>
              <w:right w:type="dxa" w:w="100"/>
            </w:tcMar>
            <w:vAlign w:val="center"/>
          </w:tcPr>
          <w:p>
            <w:pPr>
              <w:spacing w:after="0" w:before="0" w:line="280"/>
              <w:jc w:val="center"/>
            </w:pPr>
            <w:r>
              <w:rPr>
                <w:rFonts w:ascii="SimSun" w:cs="SimSun" w:eastAsia="SimSun" w:hAnsi="SimSun"/>
                <w:b/>
                <w:bCs/>
                <w:i w:val="false"/>
                <w:iCs w:val="false"/>
                <w:color w:val="000000"/>
                <w:sz w:val="19"/>
                <w:szCs w:val="19"/>
              </w:rPr>
              <w:t xml:space="preserve">模块</w:t>
            </w:r>
          </w:p>
        </w:tc>
        <w:tc>
          <w:tcPr>
            <w:tcW w:type="dxa" w:w="3000"/>
            <w:tcBorders>
              <w:top w:val="single" w:color="777777" w:sz="4"/>
              <w:left w:val="single" w:color="777777" w:sz="4"/>
              <w:bottom w:val="single" w:color="777777" w:sz="4"/>
              <w:right w:val="single" w:color="777777" w:sz="4"/>
            </w:tcBorders>
            <w:shd w:fill="D9EAF7" w:val="clear"/>
            <w:tcMar>
              <w:top w:type="dxa" w:w="90"/>
              <w:left w:type="dxa" w:w="100"/>
              <w:bottom w:type="dxa" w:w="90"/>
              <w:right w:type="dxa" w:w="100"/>
            </w:tcMar>
            <w:vAlign w:val="center"/>
          </w:tcPr>
          <w:p>
            <w:pPr>
              <w:spacing w:after="0" w:before="0" w:line="280"/>
              <w:jc w:val="center"/>
            </w:pPr>
            <w:r>
              <w:rPr>
                <w:rFonts w:ascii="SimSun" w:cs="SimSun" w:eastAsia="SimSun" w:hAnsi="SimSun"/>
                <w:b/>
                <w:bCs/>
                <w:i w:val="false"/>
                <w:iCs w:val="false"/>
                <w:color w:val="000000"/>
                <w:sz w:val="19"/>
                <w:szCs w:val="19"/>
              </w:rPr>
              <w:t xml:space="preserve">层或运算</w:t>
            </w:r>
          </w:p>
        </w:tc>
        <w:tc>
          <w:tcPr>
            <w:tcW w:type="dxa" w:w="4176"/>
            <w:tcBorders>
              <w:top w:val="single" w:color="777777" w:sz="4"/>
              <w:left w:val="single" w:color="777777" w:sz="4"/>
              <w:bottom w:val="single" w:color="777777" w:sz="4"/>
              <w:right w:val="single" w:color="777777" w:sz="4"/>
            </w:tcBorders>
            <w:shd w:fill="D9EAF7" w:val="clear"/>
            <w:tcMar>
              <w:top w:type="dxa" w:w="90"/>
              <w:left w:type="dxa" w:w="100"/>
              <w:bottom w:type="dxa" w:w="90"/>
              <w:right w:type="dxa" w:w="100"/>
            </w:tcMar>
            <w:vAlign w:val="center"/>
          </w:tcPr>
          <w:p>
            <w:pPr>
              <w:spacing w:after="0" w:before="0" w:line="280"/>
              <w:jc w:val="center"/>
            </w:pPr>
            <w:r>
              <w:rPr>
                <w:rFonts w:ascii="SimSun" w:cs="SimSun" w:eastAsia="SimSun" w:hAnsi="SimSun"/>
                <w:b/>
                <w:bCs/>
                <w:i w:val="false"/>
                <w:iCs w:val="false"/>
                <w:color w:val="000000"/>
                <w:sz w:val="19"/>
                <w:szCs w:val="19"/>
              </w:rPr>
              <w:t xml:space="preserve">实施参数</w:t>
            </w:r>
          </w:p>
        </w:tc>
      </w:tr>
      <w:tr>
        <w:trPr>
          <w:cantSplit/>
        </w:trPr>
        <w:tc>
          <w:tcPr>
            <w:tcW w:type="dxa" w:w="1850"/>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主编码器1</w:t>
            </w:r>
          </w:p>
        </w:tc>
        <w:tc>
          <w:tcPr>
            <w:tcW w:type="dxa" w:w="3000"/>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Conv2d+GroupNorm+SiLU</w:t>
            </w:r>
          </w:p>
        </w:tc>
        <w:tc>
          <w:tcPr>
            <w:tcW w:type="dxa" w:w="4176"/>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1→32，3×3，步长2，填充1</w:t>
            </w:r>
          </w:p>
        </w:tc>
      </w:tr>
      <w:tr>
        <w:trPr>
          <w:cantSplit/>
        </w:trPr>
        <w:tc>
          <w:tcPr>
            <w:tcW w:type="dxa" w:w="1850"/>
            <w:tcBorders>
              <w:top w:val="single" w:color="777777" w:sz="4"/>
              <w:left w:val="single" w:color="777777" w:sz="4"/>
              <w:bottom w:val="single" w:color="777777" w:sz="4"/>
              <w:right w:val="single" w:color="777777" w:sz="4"/>
            </w:tcBorders>
            <w:shd w:fill="F7F7F7" w:val="clear"/>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主编码器2</w:t>
            </w:r>
          </w:p>
        </w:tc>
        <w:tc>
          <w:tcPr>
            <w:tcW w:type="dxa" w:w="3000"/>
            <w:tcBorders>
              <w:top w:val="single" w:color="777777" w:sz="4"/>
              <w:left w:val="single" w:color="777777" w:sz="4"/>
              <w:bottom w:val="single" w:color="777777" w:sz="4"/>
              <w:right w:val="single" w:color="777777" w:sz="4"/>
            </w:tcBorders>
            <w:shd w:fill="F7F7F7" w:val="clear"/>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Conv2d+GroupNorm+SiLU</w:t>
            </w:r>
          </w:p>
        </w:tc>
        <w:tc>
          <w:tcPr>
            <w:tcW w:type="dxa" w:w="4176"/>
            <w:tcBorders>
              <w:top w:val="single" w:color="777777" w:sz="4"/>
              <w:left w:val="single" w:color="777777" w:sz="4"/>
              <w:bottom w:val="single" w:color="777777" w:sz="4"/>
              <w:right w:val="single" w:color="777777" w:sz="4"/>
            </w:tcBorders>
            <w:shd w:fill="F7F7F7" w:val="clear"/>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32→64，3×3，步长2，填充1</w:t>
            </w:r>
          </w:p>
        </w:tc>
      </w:tr>
      <w:tr>
        <w:trPr>
          <w:cantSplit/>
        </w:trPr>
        <w:tc>
          <w:tcPr>
            <w:tcW w:type="dxa" w:w="1850"/>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主编码器3</w:t>
            </w:r>
          </w:p>
        </w:tc>
        <w:tc>
          <w:tcPr>
            <w:tcW w:type="dxa" w:w="3000"/>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Conv2d+GroupNorm+SiLU</w:t>
            </w:r>
          </w:p>
        </w:tc>
        <w:tc>
          <w:tcPr>
            <w:tcW w:type="dxa" w:w="4176"/>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64→128，3×3，步长2，填充1</w:t>
            </w:r>
          </w:p>
        </w:tc>
      </w:tr>
      <w:tr>
        <w:trPr>
          <w:cantSplit/>
        </w:trPr>
        <w:tc>
          <w:tcPr>
            <w:tcW w:type="dxa" w:w="1850"/>
            <w:tcBorders>
              <w:top w:val="single" w:color="777777" w:sz="4"/>
              <w:left w:val="single" w:color="777777" w:sz="4"/>
              <w:bottom w:val="single" w:color="777777" w:sz="4"/>
              <w:right w:val="single" w:color="777777" w:sz="4"/>
            </w:tcBorders>
            <w:shd w:fill="F7F7F7" w:val="clear"/>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主编码器4</w:t>
            </w:r>
          </w:p>
        </w:tc>
        <w:tc>
          <w:tcPr>
            <w:tcW w:type="dxa" w:w="3000"/>
            <w:tcBorders>
              <w:top w:val="single" w:color="777777" w:sz="4"/>
              <w:left w:val="single" w:color="777777" w:sz="4"/>
              <w:bottom w:val="single" w:color="777777" w:sz="4"/>
              <w:right w:val="single" w:color="777777" w:sz="4"/>
            </w:tcBorders>
            <w:shd w:fill="F7F7F7" w:val="clear"/>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Conv2d+GroupNorm+SiLU</w:t>
            </w:r>
          </w:p>
        </w:tc>
        <w:tc>
          <w:tcPr>
            <w:tcW w:type="dxa" w:w="4176"/>
            <w:tcBorders>
              <w:top w:val="single" w:color="777777" w:sz="4"/>
              <w:left w:val="single" w:color="777777" w:sz="4"/>
              <w:bottom w:val="single" w:color="777777" w:sz="4"/>
              <w:right w:val="single" w:color="777777" w:sz="4"/>
            </w:tcBorders>
            <w:shd w:fill="F7F7F7" w:val="clear"/>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128→256，3×3，步长2，填充1</w:t>
            </w:r>
          </w:p>
        </w:tc>
      </w:tr>
      <w:tr>
        <w:trPr>
          <w:cantSplit/>
        </w:trPr>
        <w:tc>
          <w:tcPr>
            <w:tcW w:type="dxa" w:w="1850"/>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主池化</w:t>
            </w:r>
          </w:p>
        </w:tc>
        <w:tc>
          <w:tcPr>
            <w:tcW w:type="dxa" w:w="3000"/>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全局平均池化||全局最大池化</w:t>
            </w:r>
          </w:p>
        </w:tc>
        <w:tc>
          <w:tcPr>
            <w:tcW w:type="dxa" w:w="4176"/>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256+256=512维</w:t>
            </w:r>
          </w:p>
        </w:tc>
      </w:tr>
      <w:tr>
        <w:trPr>
          <w:cantSplit/>
        </w:trPr>
        <w:tc>
          <w:tcPr>
            <w:tcW w:type="dxa" w:w="1850"/>
            <w:tcBorders>
              <w:top w:val="single" w:color="777777" w:sz="4"/>
              <w:left w:val="single" w:color="777777" w:sz="4"/>
              <w:bottom w:val="single" w:color="777777" w:sz="4"/>
              <w:right w:val="single" w:color="777777" w:sz="4"/>
            </w:tcBorders>
            <w:shd w:fill="F7F7F7" w:val="clear"/>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辅助编码器</w:t>
            </w:r>
          </w:p>
        </w:tc>
        <w:tc>
          <w:tcPr>
            <w:tcW w:type="dxa" w:w="3000"/>
            <w:tcBorders>
              <w:top w:val="single" w:color="777777" w:sz="4"/>
              <w:left w:val="single" w:color="777777" w:sz="4"/>
              <w:bottom w:val="single" w:color="777777" w:sz="4"/>
              <w:right w:val="single" w:color="777777" w:sz="4"/>
            </w:tcBorders>
            <w:shd w:fill="F7F7F7" w:val="clear"/>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LayerNorm+Linear+SiLU</w:t>
            </w:r>
          </w:p>
        </w:tc>
        <w:tc>
          <w:tcPr>
            <w:tcW w:type="dxa" w:w="4176"/>
            <w:tcBorders>
              <w:top w:val="single" w:color="777777" w:sz="4"/>
              <w:left w:val="single" w:color="777777" w:sz="4"/>
              <w:bottom w:val="single" w:color="777777" w:sz="4"/>
              <w:right w:val="single" w:color="777777" w:sz="4"/>
            </w:tcBorders>
            <w:shd w:fill="F7F7F7" w:val="clear"/>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3→32→32</w:t>
            </w:r>
          </w:p>
        </w:tc>
      </w:tr>
      <w:tr>
        <w:trPr>
          <w:cantSplit/>
        </w:trPr>
        <w:tc>
          <w:tcPr>
            <w:tcW w:type="dxa" w:w="1850"/>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融合层</w:t>
            </w:r>
          </w:p>
        </w:tc>
        <w:tc>
          <w:tcPr>
            <w:tcW w:type="dxa" w:w="3000"/>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Linear+LayerNorm+SiLU+Dropout</w:t>
            </w:r>
          </w:p>
        </w:tc>
        <w:tc>
          <w:tcPr>
            <w:tcW w:type="dxa" w:w="4176"/>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544→256，Dropout=0.4</w:t>
            </w:r>
          </w:p>
        </w:tc>
      </w:tr>
      <w:tr>
        <w:trPr>
          <w:cantSplit/>
        </w:trPr>
        <w:tc>
          <w:tcPr>
            <w:tcW w:type="dxa" w:w="1850"/>
            <w:tcBorders>
              <w:top w:val="single" w:color="777777" w:sz="4"/>
              <w:left w:val="single" w:color="777777" w:sz="4"/>
              <w:bottom w:val="single" w:color="777777" w:sz="4"/>
              <w:right w:val="single" w:color="777777" w:sz="4"/>
            </w:tcBorders>
            <w:shd w:fill="F7F7F7" w:val="clear"/>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概率潜变量</w:t>
            </w:r>
          </w:p>
        </w:tc>
        <w:tc>
          <w:tcPr>
            <w:tcW w:type="dxa" w:w="3000"/>
            <w:tcBorders>
              <w:top w:val="single" w:color="777777" w:sz="4"/>
              <w:left w:val="single" w:color="777777" w:sz="4"/>
              <w:bottom w:val="single" w:color="777777" w:sz="4"/>
              <w:right w:val="single" w:color="777777" w:sz="4"/>
            </w:tcBorders>
            <w:shd w:fill="F7F7F7" w:val="clear"/>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均值分支/对数方差分支</w:t>
            </w:r>
          </w:p>
        </w:tc>
        <w:tc>
          <w:tcPr>
            <w:tcW w:type="dxa" w:w="4176"/>
            <w:tcBorders>
              <w:top w:val="single" w:color="777777" w:sz="4"/>
              <w:left w:val="single" w:color="777777" w:sz="4"/>
              <w:bottom w:val="single" w:color="777777" w:sz="4"/>
              <w:right w:val="single" w:color="777777" w:sz="4"/>
            </w:tcBorders>
            <w:shd w:fill="F7F7F7" w:val="clear"/>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256→16；logvar∈[-6,2]</w:t>
            </w:r>
          </w:p>
        </w:tc>
      </w:tr>
      <w:tr>
        <w:trPr>
          <w:cantSplit/>
        </w:trPr>
        <w:tc>
          <w:tcPr>
            <w:tcW w:type="dxa" w:w="1850"/>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分类器</w:t>
            </w:r>
          </w:p>
        </w:tc>
        <w:tc>
          <w:tcPr>
            <w:tcW w:type="dxa" w:w="3000"/>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LayerNorm+Linear+SiLU+Dropout+Linear</w:t>
            </w:r>
          </w:p>
        </w:tc>
        <w:tc>
          <w:tcPr>
            <w:tcW w:type="dxa" w:w="4176"/>
            <w:tcBorders>
              <w:top w:val="single" w:color="777777" w:sz="4"/>
              <w:left w:val="single" w:color="777777" w:sz="4"/>
              <w:bottom w:val="single" w:color="777777" w:sz="4"/>
              <w:right w:val="single" w:color="777777" w:sz="4"/>
            </w:tcBorders>
            <w:tcMar>
              <w:top w:type="dxa" w:w="90"/>
              <w:left w:type="dxa" w:w="100"/>
              <w:bottom w:type="dxa" w:w="90"/>
              <w:right w:type="dxa" w:w="100"/>
            </w:tcMar>
            <w:vAlign w:val="center"/>
          </w:tcPr>
          <w:p>
            <w:pPr>
              <w:spacing w:after="0" w:before="0" w:line="280"/>
              <w:jc w:val="left"/>
            </w:pPr>
            <w:r>
              <w:rPr>
                <w:rFonts w:ascii="SimSun" w:cs="SimSun" w:eastAsia="SimSun" w:hAnsi="SimSun"/>
                <w:b w:val="false"/>
                <w:bCs w:val="false"/>
                <w:i w:val="false"/>
                <w:iCs w:val="false"/>
                <w:color w:val="000000"/>
                <w:sz w:val="19"/>
                <w:szCs w:val="19"/>
              </w:rPr>
              <w:t xml:space="preserve">16→128→4，Dropout=0.4</w:t>
            </w:r>
          </w:p>
        </w:tc>
      </w:tr>
    </w:tbl>
    <w:p>
      <w:pPr>
        <w:keepNext/>
        <w:spacing w:after="200" w:before="80"/>
        <w:jc w:val="center"/>
      </w:pPr>
      <w:r>
        <w:rPr>
          <w:rFonts w:ascii="SimSun" w:cs="SimSun" w:eastAsia="SimSun" w:hAnsi="SimSun"/>
          <w:b w:val="false"/>
          <w:bCs w:val="false"/>
          <w:i w:val="false"/>
          <w:iCs w:val="false"/>
          <w:color w:val="000000"/>
          <w:sz w:val="21"/>
          <w:szCs w:val="21"/>
        </w:rPr>
        <w:t xml:space="preserve">表2  PVSC-Net网络参数</w:t>
      </w:r>
    </w:p>
    <w:p>
      <w:pPr>
        <w:spacing w:after="80" w:before="120"/>
        <w:jc w:val="center"/>
      </w:pPr>
      <w:r>
        <w:drawing>
          <wp:inline distT="0" distB="0" distL="0" distR="0">
            <wp:extent cx="5905500" cy="2724150"/>
            <wp:effectExtent t="0" r="0" b="0" l="0"/>
            <wp:docPr id="1" name="PVSC-Net网络结构" descr="PVSC-Net网络结构" title="PVSC-Net网络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724150"/>
                    </a:xfrm>
                    <a:prstGeom prst="rect">
                      <a:avLst/>
                    </a:prstGeom>
                  </pic:spPr>
                </pic:pic>
              </a:graphicData>
            </a:graphic>
          </wp:inline>
        </w:drawing>
      </w:r>
    </w:p>
    <w:p>
      <w:pPr>
        <w:keepNext/>
        <w:spacing w:after="200" w:before="80"/>
        <w:jc w:val="center"/>
      </w:pPr>
      <w:r>
        <w:rPr>
          <w:rFonts w:ascii="SimSun" w:cs="SimSun" w:eastAsia="SimSun" w:hAnsi="SimSun"/>
          <w:b w:val="false"/>
          <w:bCs w:val="false"/>
          <w:i w:val="false"/>
          <w:iCs w:val="false"/>
          <w:color w:val="000000"/>
          <w:sz w:val="21"/>
          <w:szCs w:val="21"/>
        </w:rPr>
        <w:t xml:space="preserve">图1  PVSC-Net网络结构</w:t>
      </w:r>
    </w:p>
    <w:p>
      <w:pPr>
        <w:pStyle w:val="Heading2"/>
        <w:keepNext/>
        <w:pageBreakBefore/>
        <w:spacing w:after="160" w:before="220"/>
        <w:jc w:val="left"/>
      </w:pPr>
      <w:r>
        <w:rPr>
          <w:rFonts w:ascii="SimHei" w:cs="SimHei" w:eastAsia="SimHei" w:hAnsi="SimHei"/>
          <w:b/>
          <w:bCs/>
          <w:i w:val="false"/>
          <w:iCs w:val="false"/>
          <w:color w:val="000000"/>
          <w:sz w:val="28"/>
          <w:szCs w:val="28"/>
        </w:rPr>
        <w:t xml:space="preserve">实施例三：训练方法</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训练采用AdamW优化器和ReduceLROnPlateau学习率调度器。当验证损失连续预设轮次未改善时，将学习率衰减为当前值的0.5倍，最低学习率为初始学习率的0.01倍；梯度范数裁剪阈值设为5.0。每一训练轮次内，按目标类别和源文件实施平衡采样，从每一源文件无放回地抽取不超过128个窗口，并将各目标类别的最终窗口数量统一为各类别可采窗口数量中的最小值。</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网络训练阶段启用Dropout，并按照式（6）生成随机潜变量；网络验证和部署阶段关闭Dropout，且以潜变量均值向量μ替代随机采样结果。训练35轮，以验证数据窗口级准确率最高的训练轮次作为模型选择结果，并保存相应网络参数；本实施例不启用提前停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777777" w:sz="4"/>
              <w:left w:val="single" w:color="777777" w:sz="4"/>
              <w:bottom w:val="single" w:color="777777" w:sz="4"/>
              <w:right w:val="single" w:color="777777" w:sz="4"/>
            </w:tcBorders>
            <w:shd w:fill="D9EAF7" w:val="clear"/>
            <w:tcMar>
              <w:top w:type="dxa" w:w="45"/>
              <w:left w:type="dxa" w:w="100"/>
              <w:bottom w:type="dxa" w:w="45"/>
              <w:right w:type="dxa" w:w="100"/>
            </w:tcMar>
            <w:vAlign w:val="center"/>
          </w:tcPr>
          <w:p>
            <w:pPr>
              <w:spacing w:after="0" w:before="0" w:line="230"/>
              <w:jc w:val="center"/>
            </w:pPr>
            <w:r>
              <w:rPr>
                <w:rFonts w:ascii="SimSun" w:cs="SimSun" w:eastAsia="SimSun" w:hAnsi="SimSun"/>
                <w:b/>
                <w:bCs/>
                <w:i w:val="false"/>
                <w:iCs w:val="false"/>
                <w:color w:val="000000"/>
                <w:sz w:val="18"/>
                <w:szCs w:val="18"/>
              </w:rPr>
              <w:t xml:space="preserve">训练项目</w:t>
            </w:r>
          </w:p>
        </w:tc>
        <w:tc>
          <w:tcPr>
            <w:tcW w:type="dxa" w:w="5426"/>
            <w:tcBorders>
              <w:top w:val="single" w:color="777777" w:sz="4"/>
              <w:left w:val="single" w:color="777777" w:sz="4"/>
              <w:bottom w:val="single" w:color="777777" w:sz="4"/>
              <w:right w:val="single" w:color="777777" w:sz="4"/>
            </w:tcBorders>
            <w:shd w:fill="D9EAF7" w:val="clear"/>
            <w:tcMar>
              <w:top w:type="dxa" w:w="45"/>
              <w:left w:type="dxa" w:w="100"/>
              <w:bottom w:type="dxa" w:w="45"/>
              <w:right w:type="dxa" w:w="100"/>
            </w:tcMar>
            <w:vAlign w:val="center"/>
          </w:tcPr>
          <w:p>
            <w:pPr>
              <w:spacing w:after="0" w:before="0" w:line="230"/>
              <w:jc w:val="center"/>
            </w:pPr>
            <w:r>
              <w:rPr>
                <w:rFonts w:ascii="SimSun" w:cs="SimSun" w:eastAsia="SimSun" w:hAnsi="SimSun"/>
                <w:b/>
                <w:bCs/>
                <w:i w:val="false"/>
                <w:iCs w:val="false"/>
                <w:color w:val="000000"/>
                <w:sz w:val="18"/>
                <w:szCs w:val="18"/>
              </w:rPr>
              <w:t xml:space="preserve">实施值</w:t>
            </w:r>
          </w:p>
        </w:tc>
      </w:tr>
      <w:tr>
        <w:trPr>
          <w:cantSplit/>
        </w:trPr>
        <w:tc>
          <w:tcPr>
            <w:tcW w:type="dxa" w:w="36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8"/>
                <w:szCs w:val="18"/>
              </w:rPr>
              <w:t xml:space="preserve">训练轮数</w:t>
            </w:r>
          </w:p>
        </w:tc>
        <w:tc>
          <w:tcPr>
            <w:tcW w:type="dxa" w:w="5426"/>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8"/>
                <w:szCs w:val="18"/>
              </w:rPr>
              <w:t xml:space="preserve">35</w:t>
            </w:r>
          </w:p>
        </w:tc>
      </w:tr>
      <w:tr>
        <w:trPr>
          <w:cantSplit/>
        </w:trPr>
        <w:tc>
          <w:tcPr>
            <w:tcW w:type="dxa" w:w="36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8"/>
                <w:szCs w:val="18"/>
              </w:rPr>
              <w:t xml:space="preserve">批量大小</w:t>
            </w:r>
          </w:p>
        </w:tc>
        <w:tc>
          <w:tcPr>
            <w:tcW w:type="dxa" w:w="5426"/>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8"/>
                <w:szCs w:val="18"/>
              </w:rPr>
              <w:t xml:space="preserve">64</w:t>
            </w:r>
          </w:p>
        </w:tc>
      </w:tr>
      <w:tr>
        <w:trPr>
          <w:cantSplit/>
        </w:trPr>
        <w:tc>
          <w:tcPr>
            <w:tcW w:type="dxa" w:w="36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8"/>
                <w:szCs w:val="18"/>
              </w:rPr>
              <w:t xml:space="preserve">初始学习率</w:t>
            </w:r>
          </w:p>
        </w:tc>
        <w:tc>
          <w:tcPr>
            <w:tcW w:type="dxa" w:w="5426"/>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8"/>
                <w:szCs w:val="18"/>
              </w:rPr>
              <w:t xml:space="preserve">3×10^-4</w:t>
            </w:r>
          </w:p>
        </w:tc>
      </w:tr>
      <w:tr>
        <w:trPr>
          <w:cantSplit/>
        </w:trPr>
        <w:tc>
          <w:tcPr>
            <w:tcW w:type="dxa" w:w="36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8"/>
                <w:szCs w:val="18"/>
              </w:rPr>
              <w:t xml:space="preserve">优化器/权重衰减</w:t>
            </w:r>
          </w:p>
        </w:tc>
        <w:tc>
          <w:tcPr>
            <w:tcW w:type="dxa" w:w="5426"/>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8"/>
                <w:szCs w:val="18"/>
              </w:rPr>
              <w:t xml:space="preserve">AdamW / 1×10^-4</w:t>
            </w:r>
          </w:p>
        </w:tc>
      </w:tr>
      <w:tr>
        <w:trPr>
          <w:cantSplit/>
        </w:trPr>
        <w:tc>
          <w:tcPr>
            <w:tcW w:type="dxa" w:w="36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8"/>
                <w:szCs w:val="18"/>
              </w:rPr>
              <w:t xml:space="preserve">潜变量维数/噪声比例</w:t>
            </w:r>
          </w:p>
        </w:tc>
        <w:tc>
          <w:tcPr>
            <w:tcW w:type="dxa" w:w="5426"/>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8"/>
                <w:szCs w:val="18"/>
              </w:rPr>
              <w:t xml:space="preserve">16 / 0.1</w:t>
            </w:r>
          </w:p>
        </w:tc>
      </w:tr>
      <w:tr>
        <w:trPr>
          <w:cantSplit/>
        </w:trPr>
        <w:tc>
          <w:tcPr>
            <w:tcW w:type="dxa" w:w="36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8"/>
                <w:szCs w:val="18"/>
              </w:rPr>
              <w:t xml:space="preserve">标签平滑</w:t>
            </w:r>
          </w:p>
        </w:tc>
        <w:tc>
          <w:tcPr>
            <w:tcW w:type="dxa" w:w="5426"/>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8"/>
                <w:szCs w:val="18"/>
              </w:rPr>
              <w:t xml:space="preserve">0.05</w:t>
            </w:r>
          </w:p>
        </w:tc>
      </w:tr>
      <w:tr>
        <w:trPr>
          <w:cantSplit/>
        </w:trPr>
        <w:tc>
          <w:tcPr>
            <w:tcW w:type="dxa" w:w="36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8"/>
                <w:szCs w:val="18"/>
              </w:rPr>
              <w:t xml:space="preserve">梯度裁剪</w:t>
            </w:r>
          </w:p>
        </w:tc>
        <w:tc>
          <w:tcPr>
            <w:tcW w:type="dxa" w:w="5426"/>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8"/>
                <w:szCs w:val="18"/>
              </w:rPr>
              <w:t xml:space="preserve">5.0</w:t>
            </w:r>
          </w:p>
        </w:tc>
      </w:tr>
      <w:tr>
        <w:trPr>
          <w:cantSplit/>
        </w:trPr>
        <w:tc>
          <w:tcPr>
            <w:tcW w:type="dxa" w:w="36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8"/>
                <w:szCs w:val="18"/>
              </w:rPr>
              <w:t xml:space="preserve">源文件窗口上限</w:t>
            </w:r>
          </w:p>
        </w:tc>
        <w:tc>
          <w:tcPr>
            <w:tcW w:type="dxa" w:w="5426"/>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8"/>
                <w:szCs w:val="18"/>
              </w:rPr>
              <w:t xml:space="preserve">128/轮</w:t>
            </w:r>
          </w:p>
        </w:tc>
      </w:tr>
      <w:tr>
        <w:trPr>
          <w:cantSplit/>
        </w:trPr>
        <w:tc>
          <w:tcPr>
            <w:tcW w:type="dxa" w:w="36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8"/>
                <w:szCs w:val="18"/>
              </w:rPr>
              <w:t xml:space="preserve">实验种子</w:t>
            </w:r>
          </w:p>
        </w:tc>
        <w:tc>
          <w:tcPr>
            <w:tcW w:type="dxa" w:w="5426"/>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8"/>
                <w:szCs w:val="18"/>
              </w:rPr>
              <w:t xml:space="preserve">2024、2025、2026</w:t>
            </w:r>
          </w:p>
        </w:tc>
      </w:tr>
    </w:tbl>
    <w:p>
      <w:pPr>
        <w:keepNext/>
        <w:spacing w:after="200" w:before="80"/>
        <w:jc w:val="center"/>
      </w:pPr>
      <w:r>
        <w:rPr>
          <w:rFonts w:ascii="SimSun" w:cs="SimSun" w:eastAsia="SimSun" w:hAnsi="SimSun"/>
          <w:b w:val="false"/>
          <w:bCs w:val="false"/>
          <w:i w:val="false"/>
          <w:iCs w:val="false"/>
          <w:color w:val="000000"/>
          <w:sz w:val="21"/>
          <w:szCs w:val="21"/>
        </w:rPr>
        <w:t xml:space="preserve">表3  训练超参数</w:t>
      </w:r>
    </w:p>
    <w:p>
      <w:pPr>
        <w:pStyle w:val="Heading2"/>
        <w:keepNext/>
        <w:spacing w:after="160" w:before="220"/>
        <w:jc w:val="left"/>
      </w:pPr>
      <w:r>
        <w:rPr>
          <w:rFonts w:ascii="SimHei" w:cs="SimHei" w:eastAsia="SimHei" w:hAnsi="SimHei"/>
          <w:b/>
          <w:bCs/>
          <w:i w:val="false"/>
          <w:iCs w:val="false"/>
          <w:color w:val="000000"/>
          <w:sz w:val="28"/>
          <w:szCs w:val="28"/>
        </w:rPr>
        <w:t xml:space="preserve">实施例四：对照方法与实验设计</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为分别考察概率潜变量机制和辅助声学特征融合的作用，设置确定性融合模型和仅频谱概率模型两个受控对照。PVSC-Net与两个对照模型采用相同的四级卷积编码器、双全局池化、潜变量维数、分类器、损失函数、优化器、训练轮数、源文件分组划分及平衡采样规则，使模型间差异集中于被考察的技术模块。</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确定性融合模型保留对数梅尔频谱主特征支路、33维辅助声学特征、特征变换器、辅助特征编码器及融合层，但以单个16维线性映射替代潜变量均值分支、潜变量对数方差分支和随机重参数化过程。该模型参数量为536442，用于对照考察训练期概率潜变量机制。</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仅频谱概率模型保留四级卷积编码器、双全局池化、潜变量均值与对数方差分支、训练期缩放高斯采样及相同分类器，但不使用33维辅助声学特征、特征变换器、辅助特征编码器和主辅特征拼接。该模型参数量为531108，用于对照考察辅助声学特征融合。</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采用随机种子2024、2025和2026分别进行三组配对实验。在同一随机种子下，三个模型共享相同的训练源文件与验证源文件划分；不同随机种子同时改变源文件分组划分和网络训练随机状态。每次实验均训练35轮，并选取验证数据窗口级准确率最高的网络参数。三组重复结果用于描述本实施例在不同划分下的表现，不作为统计显著性结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000"/>
        <w:gridCol w:w="1600"/>
        <w:gridCol w:w="1600"/>
        <w:gridCol w:w="2126"/>
      </w:tblGrid>
      <w:tr>
        <w:trPr>
          <w:tblHeader/>
        </w:trPr>
        <w:tc>
          <w:tcPr>
            <w:tcW w:type="dxa" w:w="900"/>
            <w:tcBorders>
              <w:top w:val="single" w:color="777777" w:sz="4"/>
              <w:left w:val="single" w:color="777777" w:sz="4"/>
              <w:bottom w:val="single" w:color="777777" w:sz="4"/>
              <w:right w:val="single" w:color="777777" w:sz="4"/>
            </w:tcBorders>
            <w:shd w:fill="D9EAF7" w:val="clear"/>
            <w:tcMar>
              <w:top w:type="dxa" w:w="45"/>
              <w:left w:type="dxa" w:w="100"/>
              <w:bottom w:type="dxa" w:w="45"/>
              <w:right w:type="dxa" w:w="100"/>
            </w:tcMar>
            <w:vAlign w:val="center"/>
          </w:tcPr>
          <w:p>
            <w:pPr>
              <w:spacing w:after="0" w:before="0" w:line="230"/>
              <w:jc w:val="center"/>
            </w:pPr>
            <w:r>
              <w:rPr>
                <w:rFonts w:ascii="SimSun" w:cs="SimSun" w:eastAsia="SimSun" w:hAnsi="SimSun"/>
                <w:b/>
                <w:bCs/>
                <w:i w:val="false"/>
                <w:iCs w:val="false"/>
                <w:color w:val="000000"/>
                <w:sz w:val="16"/>
                <w:szCs w:val="16"/>
              </w:rPr>
              <w:t xml:space="preserve">种子</w:t>
            </w:r>
          </w:p>
        </w:tc>
        <w:tc>
          <w:tcPr>
            <w:tcW w:type="dxa" w:w="1800"/>
            <w:tcBorders>
              <w:top w:val="single" w:color="777777" w:sz="4"/>
              <w:left w:val="single" w:color="777777" w:sz="4"/>
              <w:bottom w:val="single" w:color="777777" w:sz="4"/>
              <w:right w:val="single" w:color="777777" w:sz="4"/>
            </w:tcBorders>
            <w:shd w:fill="D9EAF7" w:val="clear"/>
            <w:tcMar>
              <w:top w:type="dxa" w:w="45"/>
              <w:left w:type="dxa" w:w="100"/>
              <w:bottom w:type="dxa" w:w="45"/>
              <w:right w:type="dxa" w:w="100"/>
            </w:tcMar>
            <w:vAlign w:val="center"/>
          </w:tcPr>
          <w:p>
            <w:pPr>
              <w:spacing w:after="0" w:before="0" w:line="230"/>
              <w:jc w:val="center"/>
            </w:pPr>
            <w:r>
              <w:rPr>
                <w:rFonts w:ascii="SimSun" w:cs="SimSun" w:eastAsia="SimSun" w:hAnsi="SimSun"/>
                <w:b/>
                <w:bCs/>
                <w:i w:val="false"/>
                <w:iCs w:val="false"/>
                <w:color w:val="000000"/>
                <w:sz w:val="16"/>
                <w:szCs w:val="16"/>
              </w:rPr>
              <w:t xml:space="preserve">模型</w:t>
            </w:r>
          </w:p>
        </w:tc>
        <w:tc>
          <w:tcPr>
            <w:tcW w:type="dxa" w:w="1000"/>
            <w:tcBorders>
              <w:top w:val="single" w:color="777777" w:sz="4"/>
              <w:left w:val="single" w:color="777777" w:sz="4"/>
              <w:bottom w:val="single" w:color="777777" w:sz="4"/>
              <w:right w:val="single" w:color="777777" w:sz="4"/>
            </w:tcBorders>
            <w:shd w:fill="D9EAF7" w:val="clear"/>
            <w:tcMar>
              <w:top w:type="dxa" w:w="45"/>
              <w:left w:type="dxa" w:w="100"/>
              <w:bottom w:type="dxa" w:w="45"/>
              <w:right w:type="dxa" w:w="100"/>
            </w:tcMar>
            <w:vAlign w:val="center"/>
          </w:tcPr>
          <w:p>
            <w:pPr>
              <w:spacing w:after="0" w:before="0" w:line="230"/>
              <w:jc w:val="center"/>
            </w:pPr>
            <w:r>
              <w:rPr>
                <w:rFonts w:ascii="SimSun" w:cs="SimSun" w:eastAsia="SimSun" w:hAnsi="SimSun"/>
                <w:b/>
                <w:bCs/>
                <w:i w:val="false"/>
                <w:iCs w:val="false"/>
                <w:color w:val="000000"/>
                <w:sz w:val="16"/>
                <w:szCs w:val="16"/>
              </w:rPr>
              <w:t xml:space="preserve">最佳轮</w:t>
            </w:r>
          </w:p>
        </w:tc>
        <w:tc>
          <w:tcPr>
            <w:tcW w:type="dxa" w:w="1600"/>
            <w:tcBorders>
              <w:top w:val="single" w:color="777777" w:sz="4"/>
              <w:left w:val="single" w:color="777777" w:sz="4"/>
              <w:bottom w:val="single" w:color="777777" w:sz="4"/>
              <w:right w:val="single" w:color="777777" w:sz="4"/>
            </w:tcBorders>
            <w:shd w:fill="D9EAF7" w:val="clear"/>
            <w:tcMar>
              <w:top w:type="dxa" w:w="45"/>
              <w:left w:type="dxa" w:w="100"/>
              <w:bottom w:type="dxa" w:w="45"/>
              <w:right w:type="dxa" w:w="100"/>
            </w:tcMar>
            <w:vAlign w:val="center"/>
          </w:tcPr>
          <w:p>
            <w:pPr>
              <w:spacing w:after="0" w:before="0" w:line="230"/>
              <w:jc w:val="center"/>
            </w:pPr>
            <w:r>
              <w:rPr>
                <w:rFonts w:ascii="SimSun" w:cs="SimSun" w:eastAsia="SimSun" w:hAnsi="SimSun"/>
                <w:b/>
                <w:bCs/>
                <w:i w:val="false"/>
                <w:iCs w:val="false"/>
                <w:color w:val="000000"/>
                <w:sz w:val="16"/>
                <w:szCs w:val="16"/>
              </w:rPr>
              <w:t xml:space="preserve">窗口准确率</w:t>
            </w:r>
          </w:p>
        </w:tc>
        <w:tc>
          <w:tcPr>
            <w:tcW w:type="dxa" w:w="1600"/>
            <w:tcBorders>
              <w:top w:val="single" w:color="777777" w:sz="4"/>
              <w:left w:val="single" w:color="777777" w:sz="4"/>
              <w:bottom w:val="single" w:color="777777" w:sz="4"/>
              <w:right w:val="single" w:color="777777" w:sz="4"/>
            </w:tcBorders>
            <w:shd w:fill="D9EAF7" w:val="clear"/>
            <w:tcMar>
              <w:top w:type="dxa" w:w="45"/>
              <w:left w:type="dxa" w:w="100"/>
              <w:bottom w:type="dxa" w:w="45"/>
              <w:right w:type="dxa" w:w="100"/>
            </w:tcMar>
            <w:vAlign w:val="center"/>
          </w:tcPr>
          <w:p>
            <w:pPr>
              <w:spacing w:after="0" w:before="0" w:line="230"/>
              <w:jc w:val="center"/>
            </w:pPr>
            <w:r>
              <w:rPr>
                <w:rFonts w:ascii="SimSun" w:cs="SimSun" w:eastAsia="SimSun" w:hAnsi="SimSun"/>
                <w:b/>
                <w:bCs/>
                <w:i w:val="false"/>
                <w:iCs w:val="false"/>
                <w:color w:val="000000"/>
                <w:sz w:val="16"/>
                <w:szCs w:val="16"/>
              </w:rPr>
              <w:t xml:space="preserve">窗口Macro-F1</w:t>
            </w:r>
          </w:p>
        </w:tc>
        <w:tc>
          <w:tcPr>
            <w:tcW w:type="dxa" w:w="2126"/>
            <w:tcBorders>
              <w:top w:val="single" w:color="777777" w:sz="4"/>
              <w:left w:val="single" w:color="777777" w:sz="4"/>
              <w:bottom w:val="single" w:color="777777" w:sz="4"/>
              <w:right w:val="single" w:color="777777" w:sz="4"/>
            </w:tcBorders>
            <w:shd w:fill="D9EAF7" w:val="clear"/>
            <w:tcMar>
              <w:top w:type="dxa" w:w="45"/>
              <w:left w:type="dxa" w:w="100"/>
              <w:bottom w:type="dxa" w:w="45"/>
              <w:right w:type="dxa" w:w="100"/>
            </w:tcMar>
            <w:vAlign w:val="center"/>
          </w:tcPr>
          <w:p>
            <w:pPr>
              <w:spacing w:after="0" w:before="0" w:line="230"/>
              <w:jc w:val="center"/>
            </w:pPr>
            <w:r>
              <w:rPr>
                <w:rFonts w:ascii="SimSun" w:cs="SimSun" w:eastAsia="SimSun" w:hAnsi="SimSun"/>
                <w:b/>
                <w:bCs/>
                <w:i w:val="false"/>
                <w:iCs w:val="false"/>
                <w:color w:val="000000"/>
                <w:sz w:val="16"/>
                <w:szCs w:val="16"/>
              </w:rPr>
              <w:t xml:space="preserve">源文件数/准确率</w:t>
            </w:r>
          </w:p>
        </w:tc>
      </w:tr>
      <w:tr>
        <w:trPr>
          <w:cantSplit/>
        </w:trPr>
        <w:tc>
          <w:tcPr>
            <w:tcW w:type="dxa" w:w="9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2024</w:t>
            </w:r>
          </w:p>
        </w:tc>
        <w:tc>
          <w:tcPr>
            <w:tcW w:type="dxa" w:w="18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6"/>
                <w:szCs w:val="16"/>
              </w:rPr>
              <w:t xml:space="preserve">PVSC-Net</w:t>
            </w:r>
          </w:p>
        </w:tc>
        <w:tc>
          <w:tcPr>
            <w:tcW w:type="dxa" w:w="10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7</w:t>
            </w:r>
          </w:p>
        </w:tc>
        <w:tc>
          <w:tcPr>
            <w:tcW w:type="dxa" w:w="16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67.60%</w:t>
            </w:r>
          </w:p>
        </w:tc>
        <w:tc>
          <w:tcPr>
            <w:tcW w:type="dxa" w:w="16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67.33%</w:t>
            </w:r>
          </w:p>
        </w:tc>
        <w:tc>
          <w:tcPr>
            <w:tcW w:type="dxa" w:w="2126"/>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12 / 83.33%</w:t>
            </w:r>
          </w:p>
        </w:tc>
      </w:tr>
      <w:tr>
        <w:trPr>
          <w:cantSplit/>
        </w:trPr>
        <w:tc>
          <w:tcPr>
            <w:tcW w:type="dxa" w:w="9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2024</w:t>
            </w:r>
          </w:p>
        </w:tc>
        <w:tc>
          <w:tcPr>
            <w:tcW w:type="dxa" w:w="18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6"/>
                <w:szCs w:val="16"/>
              </w:rPr>
              <w:t xml:space="preserve">确定性融合</w:t>
            </w:r>
          </w:p>
        </w:tc>
        <w:tc>
          <w:tcPr>
            <w:tcW w:type="dxa" w:w="10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7</w:t>
            </w:r>
          </w:p>
        </w:tc>
        <w:tc>
          <w:tcPr>
            <w:tcW w:type="dxa" w:w="16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64.34%</w:t>
            </w:r>
          </w:p>
        </w:tc>
        <w:tc>
          <w:tcPr>
            <w:tcW w:type="dxa" w:w="16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63.91%</w:t>
            </w:r>
          </w:p>
        </w:tc>
        <w:tc>
          <w:tcPr>
            <w:tcW w:type="dxa" w:w="2126"/>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12 / 75.00%</w:t>
            </w:r>
          </w:p>
        </w:tc>
      </w:tr>
      <w:tr>
        <w:trPr>
          <w:cantSplit/>
        </w:trPr>
        <w:tc>
          <w:tcPr>
            <w:tcW w:type="dxa" w:w="9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2024</w:t>
            </w:r>
          </w:p>
        </w:tc>
        <w:tc>
          <w:tcPr>
            <w:tcW w:type="dxa" w:w="18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6"/>
                <w:szCs w:val="16"/>
              </w:rPr>
              <w:t xml:space="preserve">仅频谱概率</w:t>
            </w:r>
          </w:p>
        </w:tc>
        <w:tc>
          <w:tcPr>
            <w:tcW w:type="dxa" w:w="10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9</w:t>
            </w:r>
          </w:p>
        </w:tc>
        <w:tc>
          <w:tcPr>
            <w:tcW w:type="dxa" w:w="16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65.02%</w:t>
            </w:r>
          </w:p>
        </w:tc>
        <w:tc>
          <w:tcPr>
            <w:tcW w:type="dxa" w:w="16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64.45%</w:t>
            </w:r>
          </w:p>
        </w:tc>
        <w:tc>
          <w:tcPr>
            <w:tcW w:type="dxa" w:w="2126"/>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12 / 75.00%</w:t>
            </w:r>
          </w:p>
        </w:tc>
      </w:tr>
      <w:tr>
        <w:trPr>
          <w:cantSplit/>
        </w:trPr>
        <w:tc>
          <w:tcPr>
            <w:tcW w:type="dxa" w:w="9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2025</w:t>
            </w:r>
          </w:p>
        </w:tc>
        <w:tc>
          <w:tcPr>
            <w:tcW w:type="dxa" w:w="18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6"/>
                <w:szCs w:val="16"/>
              </w:rPr>
              <w:t xml:space="preserve">PVSC-Net</w:t>
            </w:r>
          </w:p>
        </w:tc>
        <w:tc>
          <w:tcPr>
            <w:tcW w:type="dxa" w:w="10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21</w:t>
            </w:r>
          </w:p>
        </w:tc>
        <w:tc>
          <w:tcPr>
            <w:tcW w:type="dxa" w:w="16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86.95%</w:t>
            </w:r>
          </w:p>
        </w:tc>
        <w:tc>
          <w:tcPr>
            <w:tcW w:type="dxa" w:w="16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87.28%</w:t>
            </w:r>
          </w:p>
        </w:tc>
        <w:tc>
          <w:tcPr>
            <w:tcW w:type="dxa" w:w="2126"/>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13 / 69.23%</w:t>
            </w:r>
          </w:p>
        </w:tc>
      </w:tr>
      <w:tr>
        <w:trPr>
          <w:cantSplit/>
        </w:trPr>
        <w:tc>
          <w:tcPr>
            <w:tcW w:type="dxa" w:w="9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2025</w:t>
            </w:r>
          </w:p>
        </w:tc>
        <w:tc>
          <w:tcPr>
            <w:tcW w:type="dxa" w:w="18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6"/>
                <w:szCs w:val="16"/>
              </w:rPr>
              <w:t xml:space="preserve">确定性融合</w:t>
            </w:r>
          </w:p>
        </w:tc>
        <w:tc>
          <w:tcPr>
            <w:tcW w:type="dxa" w:w="10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23</w:t>
            </w:r>
          </w:p>
        </w:tc>
        <w:tc>
          <w:tcPr>
            <w:tcW w:type="dxa" w:w="16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86.16%</w:t>
            </w:r>
          </w:p>
        </w:tc>
        <w:tc>
          <w:tcPr>
            <w:tcW w:type="dxa" w:w="16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86.80%</w:t>
            </w:r>
          </w:p>
        </w:tc>
        <w:tc>
          <w:tcPr>
            <w:tcW w:type="dxa" w:w="2126"/>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13 / 84.62%</w:t>
            </w:r>
          </w:p>
        </w:tc>
      </w:tr>
      <w:tr>
        <w:trPr>
          <w:cantSplit/>
        </w:trPr>
        <w:tc>
          <w:tcPr>
            <w:tcW w:type="dxa" w:w="9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2025</w:t>
            </w:r>
          </w:p>
        </w:tc>
        <w:tc>
          <w:tcPr>
            <w:tcW w:type="dxa" w:w="18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6"/>
                <w:szCs w:val="16"/>
              </w:rPr>
              <w:t xml:space="preserve">仅频谱概率</w:t>
            </w:r>
          </w:p>
        </w:tc>
        <w:tc>
          <w:tcPr>
            <w:tcW w:type="dxa" w:w="10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23</w:t>
            </w:r>
          </w:p>
        </w:tc>
        <w:tc>
          <w:tcPr>
            <w:tcW w:type="dxa" w:w="16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79.08%</w:t>
            </w:r>
          </w:p>
        </w:tc>
        <w:tc>
          <w:tcPr>
            <w:tcW w:type="dxa" w:w="16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80.15%</w:t>
            </w:r>
          </w:p>
        </w:tc>
        <w:tc>
          <w:tcPr>
            <w:tcW w:type="dxa" w:w="2126"/>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13 / 76.92%</w:t>
            </w:r>
          </w:p>
        </w:tc>
      </w:tr>
      <w:tr>
        <w:trPr>
          <w:cantSplit/>
        </w:trPr>
        <w:tc>
          <w:tcPr>
            <w:tcW w:type="dxa" w:w="9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2026</w:t>
            </w:r>
          </w:p>
        </w:tc>
        <w:tc>
          <w:tcPr>
            <w:tcW w:type="dxa" w:w="18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6"/>
                <w:szCs w:val="16"/>
              </w:rPr>
              <w:t xml:space="preserve">PVSC-Net</w:t>
            </w:r>
          </w:p>
        </w:tc>
        <w:tc>
          <w:tcPr>
            <w:tcW w:type="dxa" w:w="10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10</w:t>
            </w:r>
          </w:p>
        </w:tc>
        <w:tc>
          <w:tcPr>
            <w:tcW w:type="dxa" w:w="16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87.06%</w:t>
            </w:r>
          </w:p>
        </w:tc>
        <w:tc>
          <w:tcPr>
            <w:tcW w:type="dxa" w:w="16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87.86%</w:t>
            </w:r>
          </w:p>
        </w:tc>
        <w:tc>
          <w:tcPr>
            <w:tcW w:type="dxa" w:w="2126"/>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12 / 83.33%</w:t>
            </w:r>
          </w:p>
        </w:tc>
      </w:tr>
      <w:tr>
        <w:trPr>
          <w:cantSplit/>
        </w:trPr>
        <w:tc>
          <w:tcPr>
            <w:tcW w:type="dxa" w:w="9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2026</w:t>
            </w:r>
          </w:p>
        </w:tc>
        <w:tc>
          <w:tcPr>
            <w:tcW w:type="dxa" w:w="18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6"/>
                <w:szCs w:val="16"/>
              </w:rPr>
              <w:t xml:space="preserve">确定性融合</w:t>
            </w:r>
          </w:p>
        </w:tc>
        <w:tc>
          <w:tcPr>
            <w:tcW w:type="dxa" w:w="10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13</w:t>
            </w:r>
          </w:p>
        </w:tc>
        <w:tc>
          <w:tcPr>
            <w:tcW w:type="dxa" w:w="16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81.44%</w:t>
            </w:r>
          </w:p>
        </w:tc>
        <w:tc>
          <w:tcPr>
            <w:tcW w:type="dxa" w:w="16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82.84%</w:t>
            </w:r>
          </w:p>
        </w:tc>
        <w:tc>
          <w:tcPr>
            <w:tcW w:type="dxa" w:w="2126"/>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12 / 75.00%</w:t>
            </w:r>
          </w:p>
        </w:tc>
      </w:tr>
      <w:tr>
        <w:trPr>
          <w:cantSplit/>
        </w:trPr>
        <w:tc>
          <w:tcPr>
            <w:tcW w:type="dxa" w:w="9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2026</w:t>
            </w:r>
          </w:p>
        </w:tc>
        <w:tc>
          <w:tcPr>
            <w:tcW w:type="dxa" w:w="18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6"/>
                <w:szCs w:val="16"/>
              </w:rPr>
              <w:t xml:space="preserve">仅频谱概率</w:t>
            </w:r>
          </w:p>
        </w:tc>
        <w:tc>
          <w:tcPr>
            <w:tcW w:type="dxa" w:w="10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14</w:t>
            </w:r>
          </w:p>
        </w:tc>
        <w:tc>
          <w:tcPr>
            <w:tcW w:type="dxa" w:w="16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78.40%</w:t>
            </w:r>
          </w:p>
        </w:tc>
        <w:tc>
          <w:tcPr>
            <w:tcW w:type="dxa" w:w="16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80.00%</w:t>
            </w:r>
          </w:p>
        </w:tc>
        <w:tc>
          <w:tcPr>
            <w:tcW w:type="dxa" w:w="2126"/>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12 / 83.33%</w:t>
            </w:r>
          </w:p>
        </w:tc>
      </w:tr>
    </w:tbl>
    <w:p>
      <w:pPr>
        <w:keepNext/>
        <w:spacing w:after="200" w:before="80"/>
        <w:jc w:val="center"/>
      </w:pPr>
      <w:r>
        <w:rPr>
          <w:rFonts w:ascii="SimSun" w:cs="SimSun" w:eastAsia="SimSun" w:hAnsi="SimSun"/>
          <w:b w:val="false"/>
          <w:bCs w:val="false"/>
          <w:i w:val="false"/>
          <w:iCs w:val="false"/>
          <w:color w:val="000000"/>
          <w:sz w:val="21"/>
          <w:szCs w:val="21"/>
        </w:rPr>
        <w:t xml:space="preserve">表4  三种子配对实验结果</w:t>
      </w:r>
    </w:p>
    <w:p>
      <w:pPr>
        <w:pStyle w:val="Heading2"/>
        <w:keepNext/>
        <w:spacing w:after="160" w:before="220"/>
        <w:jc w:val="left"/>
      </w:pPr>
      <w:r>
        <w:rPr>
          <w:rFonts w:ascii="SimHei" w:cs="SimHei" w:eastAsia="SimHei" w:hAnsi="SimHei"/>
          <w:b/>
          <w:bCs/>
          <w:i w:val="false"/>
          <w:iCs w:val="false"/>
          <w:color w:val="000000"/>
          <w:sz w:val="28"/>
          <w:szCs w:val="28"/>
        </w:rPr>
        <w:t xml:space="preserve">实施例五：实验结果分析</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三种子平均结果如表5和图2所示。PVSC-Net窗口级准确率为80.54% ± 11.20%，窗口级Macro-F1为80.82% ± 11.69%。确定性融合模型相应结果为77.32% ± 11.48%和77.85% ± 12.23%；仅频谱概率模型相应结果为74.17% ± 7.93%和74.87% ± 9.02%。误差项为三个种子的样本标准差。</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按随机种子配对计算，PVSC-Net相对确定性融合模型的窗口级准确率差值依次为3.26%、0.79%、5.62%，平均提高3.22%；相对仅频谱概率模型的差值依次为2.59%、7.87%、8.66%，平均提高6.37%。在本实施例的受控条件下，上述结果表明概率潜变量机制和辅助声学特征融合均对窗口级分类结果产生积极作用。</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源文件级结果通过对同一源文件各窗口的未归一化分值求算术平均后确定。PVSC-Net、确定性融合模型和仅频谱概率模型在三个随机种子下的平均源文件级准确率分别为78.63%、78.21%和78.42%。三者结果接近，且每次划分仅包含12个或13个验证源文件，因此本实施例不据此主张源文件级性能具有统计显著差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1600"/>
        <w:gridCol w:w="1600"/>
        <w:gridCol w:w="1426"/>
      </w:tblGrid>
      <w:tr>
        <w:trPr>
          <w:tblHeader/>
        </w:trPr>
        <w:tc>
          <w:tcPr>
            <w:tcW w:type="dxa" w:w="1600"/>
            <w:tcBorders>
              <w:top w:val="single" w:color="777777" w:sz="4"/>
              <w:left w:val="single" w:color="777777" w:sz="4"/>
              <w:bottom w:val="single" w:color="777777" w:sz="4"/>
              <w:right w:val="single" w:color="777777" w:sz="4"/>
            </w:tcBorders>
            <w:shd w:fill="D9EAF7" w:val="clear"/>
            <w:tcMar>
              <w:top w:type="dxa" w:w="45"/>
              <w:left w:type="dxa" w:w="100"/>
              <w:bottom w:type="dxa" w:w="45"/>
              <w:right w:type="dxa" w:w="100"/>
            </w:tcMar>
            <w:vAlign w:val="center"/>
          </w:tcPr>
          <w:p>
            <w:pPr>
              <w:spacing w:after="0" w:before="0" w:line="230"/>
              <w:jc w:val="center"/>
            </w:pPr>
            <w:r>
              <w:rPr>
                <w:rFonts w:ascii="SimSun" w:cs="SimSun" w:eastAsia="SimSun" w:hAnsi="SimSun"/>
                <w:b/>
                <w:bCs/>
                <w:i w:val="false"/>
                <w:iCs w:val="false"/>
                <w:color w:val="000000"/>
                <w:sz w:val="16"/>
                <w:szCs w:val="16"/>
              </w:rPr>
              <w:t xml:space="preserve">模型</w:t>
            </w:r>
          </w:p>
        </w:tc>
        <w:tc>
          <w:tcPr>
            <w:tcW w:type="dxa" w:w="1200"/>
            <w:tcBorders>
              <w:top w:val="single" w:color="777777" w:sz="4"/>
              <w:left w:val="single" w:color="777777" w:sz="4"/>
              <w:bottom w:val="single" w:color="777777" w:sz="4"/>
              <w:right w:val="single" w:color="777777" w:sz="4"/>
            </w:tcBorders>
            <w:shd w:fill="D9EAF7" w:val="clear"/>
            <w:tcMar>
              <w:top w:type="dxa" w:w="45"/>
              <w:left w:type="dxa" w:w="100"/>
              <w:bottom w:type="dxa" w:w="45"/>
              <w:right w:type="dxa" w:w="100"/>
            </w:tcMar>
            <w:vAlign w:val="center"/>
          </w:tcPr>
          <w:p>
            <w:pPr>
              <w:spacing w:after="0" w:before="0" w:line="230"/>
              <w:jc w:val="center"/>
            </w:pPr>
            <w:r>
              <w:rPr>
                <w:rFonts w:ascii="SimSun" w:cs="SimSun" w:eastAsia="SimSun" w:hAnsi="SimSun"/>
                <w:b/>
                <w:bCs/>
                <w:i w:val="false"/>
                <w:iCs w:val="false"/>
                <w:color w:val="000000"/>
                <w:sz w:val="16"/>
                <w:szCs w:val="16"/>
              </w:rPr>
              <w:t xml:space="preserve">参数量</w:t>
            </w:r>
          </w:p>
        </w:tc>
        <w:tc>
          <w:tcPr>
            <w:tcW w:type="dxa" w:w="1600"/>
            <w:tcBorders>
              <w:top w:val="single" w:color="777777" w:sz="4"/>
              <w:left w:val="single" w:color="777777" w:sz="4"/>
              <w:bottom w:val="single" w:color="777777" w:sz="4"/>
              <w:right w:val="single" w:color="777777" w:sz="4"/>
            </w:tcBorders>
            <w:shd w:fill="D9EAF7" w:val="clear"/>
            <w:tcMar>
              <w:top w:type="dxa" w:w="45"/>
              <w:left w:type="dxa" w:w="100"/>
              <w:bottom w:type="dxa" w:w="45"/>
              <w:right w:type="dxa" w:w="100"/>
            </w:tcMar>
            <w:vAlign w:val="center"/>
          </w:tcPr>
          <w:p>
            <w:pPr>
              <w:spacing w:after="0" w:before="0" w:line="230"/>
              <w:jc w:val="center"/>
            </w:pPr>
            <w:r>
              <w:rPr>
                <w:rFonts w:ascii="SimSun" w:cs="SimSun" w:eastAsia="SimSun" w:hAnsi="SimSun"/>
                <w:b/>
                <w:bCs/>
                <w:i w:val="false"/>
                <w:iCs w:val="false"/>
                <w:color w:val="000000"/>
                <w:sz w:val="16"/>
                <w:szCs w:val="16"/>
              </w:rPr>
              <w:t xml:space="preserve">窗口准确率</w:t>
            </w:r>
          </w:p>
        </w:tc>
        <w:tc>
          <w:tcPr>
            <w:tcW w:type="dxa" w:w="1600"/>
            <w:tcBorders>
              <w:top w:val="single" w:color="777777" w:sz="4"/>
              <w:left w:val="single" w:color="777777" w:sz="4"/>
              <w:bottom w:val="single" w:color="777777" w:sz="4"/>
              <w:right w:val="single" w:color="777777" w:sz="4"/>
            </w:tcBorders>
            <w:shd w:fill="D9EAF7" w:val="clear"/>
            <w:tcMar>
              <w:top w:type="dxa" w:w="45"/>
              <w:left w:type="dxa" w:w="100"/>
              <w:bottom w:type="dxa" w:w="45"/>
              <w:right w:type="dxa" w:w="100"/>
            </w:tcMar>
            <w:vAlign w:val="center"/>
          </w:tcPr>
          <w:p>
            <w:pPr>
              <w:spacing w:after="0" w:before="0" w:line="230"/>
              <w:jc w:val="center"/>
            </w:pPr>
            <w:r>
              <w:rPr>
                <w:rFonts w:ascii="SimSun" w:cs="SimSun" w:eastAsia="SimSun" w:hAnsi="SimSun"/>
                <w:b/>
                <w:bCs/>
                <w:i w:val="false"/>
                <w:iCs w:val="false"/>
                <w:color w:val="000000"/>
                <w:sz w:val="16"/>
                <w:szCs w:val="16"/>
              </w:rPr>
              <w:t xml:space="preserve">窗口Macro-F1</w:t>
            </w:r>
          </w:p>
        </w:tc>
        <w:tc>
          <w:tcPr>
            <w:tcW w:type="dxa" w:w="1600"/>
            <w:tcBorders>
              <w:top w:val="single" w:color="777777" w:sz="4"/>
              <w:left w:val="single" w:color="777777" w:sz="4"/>
              <w:bottom w:val="single" w:color="777777" w:sz="4"/>
              <w:right w:val="single" w:color="777777" w:sz="4"/>
            </w:tcBorders>
            <w:shd w:fill="D9EAF7" w:val="clear"/>
            <w:tcMar>
              <w:top w:type="dxa" w:w="45"/>
              <w:left w:type="dxa" w:w="100"/>
              <w:bottom w:type="dxa" w:w="45"/>
              <w:right w:type="dxa" w:w="100"/>
            </w:tcMar>
            <w:vAlign w:val="center"/>
          </w:tcPr>
          <w:p>
            <w:pPr>
              <w:spacing w:after="0" w:before="0" w:line="230"/>
              <w:jc w:val="center"/>
            </w:pPr>
            <w:r>
              <w:rPr>
                <w:rFonts w:ascii="SimSun" w:cs="SimSun" w:eastAsia="SimSun" w:hAnsi="SimSun"/>
                <w:b/>
                <w:bCs/>
                <w:i w:val="false"/>
                <w:iCs w:val="false"/>
                <w:color w:val="000000"/>
                <w:sz w:val="16"/>
                <w:szCs w:val="16"/>
              </w:rPr>
              <w:t xml:space="preserve">源文件准确率</w:t>
            </w:r>
          </w:p>
        </w:tc>
        <w:tc>
          <w:tcPr>
            <w:tcW w:type="dxa" w:w="1426"/>
            <w:tcBorders>
              <w:top w:val="single" w:color="777777" w:sz="4"/>
              <w:left w:val="single" w:color="777777" w:sz="4"/>
              <w:bottom w:val="single" w:color="777777" w:sz="4"/>
              <w:right w:val="single" w:color="777777" w:sz="4"/>
            </w:tcBorders>
            <w:shd w:fill="D9EAF7" w:val="clear"/>
            <w:tcMar>
              <w:top w:type="dxa" w:w="45"/>
              <w:left w:type="dxa" w:w="100"/>
              <w:bottom w:type="dxa" w:w="45"/>
              <w:right w:type="dxa" w:w="100"/>
            </w:tcMar>
            <w:vAlign w:val="center"/>
          </w:tcPr>
          <w:p>
            <w:pPr>
              <w:spacing w:after="0" w:before="0" w:line="230"/>
              <w:jc w:val="center"/>
            </w:pPr>
            <w:r>
              <w:rPr>
                <w:rFonts w:ascii="SimSun" w:cs="SimSun" w:eastAsia="SimSun" w:hAnsi="SimSun"/>
                <w:b/>
                <w:bCs/>
                <w:i w:val="false"/>
                <w:iCs w:val="false"/>
                <w:color w:val="000000"/>
                <w:sz w:val="16"/>
                <w:szCs w:val="16"/>
              </w:rPr>
              <w:t xml:space="preserve">源文件Macro-F1</w:t>
            </w:r>
          </w:p>
        </w:tc>
      </w:tr>
      <w:tr>
        <w:trPr>
          <w:cantSplit/>
        </w:trPr>
        <w:tc>
          <w:tcPr>
            <w:tcW w:type="dxa" w:w="16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6"/>
                <w:szCs w:val="16"/>
              </w:rPr>
              <w:t xml:space="preserve">PVSC-Net</w:t>
            </w:r>
          </w:p>
        </w:tc>
        <w:tc>
          <w:tcPr>
            <w:tcW w:type="dxa" w:w="12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540554</w:t>
            </w:r>
          </w:p>
        </w:tc>
        <w:tc>
          <w:tcPr>
            <w:tcW w:type="dxa" w:w="16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80.54% ± 11.20%</w:t>
            </w:r>
          </w:p>
        </w:tc>
        <w:tc>
          <w:tcPr>
            <w:tcW w:type="dxa" w:w="16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80.82% ± 11.69%</w:t>
            </w:r>
          </w:p>
        </w:tc>
        <w:tc>
          <w:tcPr>
            <w:tcW w:type="dxa" w:w="16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78.63% ± 8.14%</w:t>
            </w:r>
          </w:p>
        </w:tc>
        <w:tc>
          <w:tcPr>
            <w:tcW w:type="dxa" w:w="1426"/>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81.11% ± 5.29%</w:t>
            </w:r>
          </w:p>
        </w:tc>
      </w:tr>
      <w:tr>
        <w:trPr>
          <w:cantSplit/>
        </w:trPr>
        <w:tc>
          <w:tcPr>
            <w:tcW w:type="dxa" w:w="16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6"/>
                <w:szCs w:val="16"/>
              </w:rPr>
              <w:t xml:space="preserve">确定性融合</w:t>
            </w:r>
          </w:p>
        </w:tc>
        <w:tc>
          <w:tcPr>
            <w:tcW w:type="dxa" w:w="12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536442</w:t>
            </w:r>
          </w:p>
        </w:tc>
        <w:tc>
          <w:tcPr>
            <w:tcW w:type="dxa" w:w="16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77.32% ± 11.48%</w:t>
            </w:r>
          </w:p>
        </w:tc>
        <w:tc>
          <w:tcPr>
            <w:tcW w:type="dxa" w:w="16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77.85% ± 12.23%</w:t>
            </w:r>
          </w:p>
        </w:tc>
        <w:tc>
          <w:tcPr>
            <w:tcW w:type="dxa" w:w="1600"/>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78.21% ± 5.55%</w:t>
            </w:r>
          </w:p>
        </w:tc>
        <w:tc>
          <w:tcPr>
            <w:tcW w:type="dxa" w:w="1426"/>
            <w:tcBorders>
              <w:top w:val="single" w:color="777777" w:sz="4"/>
              <w:left w:val="single" w:color="777777" w:sz="4"/>
              <w:bottom w:val="single" w:color="777777" w:sz="4"/>
              <w:right w:val="single" w:color="777777" w:sz="4"/>
            </w:tcBorders>
            <w:shd w:fill="F7F7F7" w:val="clear"/>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77.62% ± 10.02%</w:t>
            </w:r>
          </w:p>
        </w:tc>
      </w:tr>
      <w:tr>
        <w:trPr>
          <w:cantSplit/>
        </w:trPr>
        <w:tc>
          <w:tcPr>
            <w:tcW w:type="dxa" w:w="16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left"/>
            </w:pPr>
            <w:r>
              <w:rPr>
                <w:rFonts w:ascii="SimSun" w:cs="SimSun" w:eastAsia="SimSun" w:hAnsi="SimSun"/>
                <w:b w:val="false"/>
                <w:bCs w:val="false"/>
                <w:i w:val="false"/>
                <w:iCs w:val="false"/>
                <w:color w:val="000000"/>
                <w:sz w:val="16"/>
                <w:szCs w:val="16"/>
              </w:rPr>
              <w:t xml:space="preserve">仅频谱概率</w:t>
            </w:r>
          </w:p>
        </w:tc>
        <w:tc>
          <w:tcPr>
            <w:tcW w:type="dxa" w:w="12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531108</w:t>
            </w:r>
          </w:p>
        </w:tc>
        <w:tc>
          <w:tcPr>
            <w:tcW w:type="dxa" w:w="16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74.17% ± 7.93%</w:t>
            </w:r>
          </w:p>
        </w:tc>
        <w:tc>
          <w:tcPr>
            <w:tcW w:type="dxa" w:w="16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74.87% ± 9.02%</w:t>
            </w:r>
          </w:p>
        </w:tc>
        <w:tc>
          <w:tcPr>
            <w:tcW w:type="dxa" w:w="1600"/>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78.42% ± 4.36%</w:t>
            </w:r>
          </w:p>
        </w:tc>
        <w:tc>
          <w:tcPr>
            <w:tcW w:type="dxa" w:w="1426"/>
            <w:tcBorders>
              <w:top w:val="single" w:color="777777" w:sz="4"/>
              <w:left w:val="single" w:color="777777" w:sz="4"/>
              <w:bottom w:val="single" w:color="777777" w:sz="4"/>
              <w:right w:val="single" w:color="777777" w:sz="4"/>
            </w:tcBorders>
            <w:tcMar>
              <w:top w:type="dxa" w:w="45"/>
              <w:left w:type="dxa" w:w="100"/>
              <w:bottom w:type="dxa" w:w="45"/>
              <w:right w:type="dxa" w:w="100"/>
            </w:tcMar>
            <w:vAlign w:val="center"/>
          </w:tcPr>
          <w:p>
            <w:pPr>
              <w:spacing w:after="0" w:before="0" w:line="230"/>
              <w:jc w:val="center"/>
            </w:pPr>
            <w:r>
              <w:rPr>
                <w:rFonts w:ascii="SimSun" w:cs="SimSun" w:eastAsia="SimSun" w:hAnsi="SimSun"/>
                <w:b w:val="false"/>
                <w:bCs w:val="false"/>
                <w:i w:val="false"/>
                <w:iCs w:val="false"/>
                <w:color w:val="000000"/>
                <w:sz w:val="16"/>
                <w:szCs w:val="16"/>
              </w:rPr>
              <w:t xml:space="preserve">78.36% ± 9.05%</w:t>
            </w:r>
          </w:p>
        </w:tc>
      </w:tr>
    </w:tbl>
    <w:p>
      <w:pPr>
        <w:keepNext/>
        <w:spacing w:after="200" w:before="80"/>
        <w:jc w:val="center"/>
      </w:pPr>
      <w:r>
        <w:rPr>
          <w:rFonts w:ascii="SimSun" w:cs="SimSun" w:eastAsia="SimSun" w:hAnsi="SimSun"/>
          <w:b w:val="false"/>
          <w:bCs w:val="false"/>
          <w:i w:val="false"/>
          <w:iCs w:val="false"/>
          <w:color w:val="000000"/>
          <w:sz w:val="21"/>
          <w:szCs w:val="21"/>
        </w:rPr>
        <w:t xml:space="preserve">表5  三种子平均性能（均值±样本标准差）</w:t>
      </w:r>
    </w:p>
    <w:p>
      <w:pPr>
        <w:spacing w:after="80" w:before="120"/>
        <w:jc w:val="center"/>
      </w:pPr>
      <w:r>
        <w:drawing>
          <wp:inline distT="0" distB="0" distL="0" distR="0">
            <wp:extent cx="5905500" cy="2314575"/>
            <wp:effectExtent t="0" r="0" b="0" l="0"/>
            <wp:docPr id="1" name="三种子对比实验结果" descr="三种子对比实验结果" title="三种子对比实验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14575"/>
                    </a:xfrm>
                    <a:prstGeom prst="rect">
                      <a:avLst/>
                    </a:prstGeom>
                  </pic:spPr>
                </pic:pic>
              </a:graphicData>
            </a:graphic>
          </wp:inline>
        </w:drawing>
      </w:r>
    </w:p>
    <w:p>
      <w:pPr>
        <w:keepNext/>
        <w:spacing w:after="200" w:before="80"/>
        <w:jc w:val="center"/>
      </w:pPr>
      <w:r>
        <w:rPr>
          <w:rFonts w:ascii="SimSun" w:cs="SimSun" w:eastAsia="SimSun" w:hAnsi="SimSun"/>
          <w:b w:val="false"/>
          <w:bCs w:val="false"/>
          <w:i w:val="false"/>
          <w:iCs w:val="false"/>
          <w:color w:val="000000"/>
          <w:sz w:val="21"/>
          <w:szCs w:val="21"/>
        </w:rPr>
        <w:t xml:space="preserve">图2  PVSC-Net与两个受控对照模型的三种子窗口级准确率</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种子2026的PVSC-Net最佳检查点位于第10轮，窗口级准确率为87.06%，Macro-F1为87.86%。四类召回率分别为：货船87.66%、客船69.94%、油轮90.44%、拖船100.00%。如图3所示，主要误差来自客船窗口与货船、油轮之间的混淆。</w:t>
      </w:r>
    </w:p>
    <w:p>
      <w:pPr>
        <w:spacing w:after="80" w:before="120"/>
        <w:jc w:val="center"/>
      </w:pPr>
      <w:r>
        <w:drawing>
          <wp:inline distT="0" distB="0" distL="0" distR="0">
            <wp:extent cx="4095750" cy="3562350"/>
            <wp:effectExtent t="0" r="0" b="0" l="0"/>
            <wp:docPr id="1" name="PVSC-Net种子2026混淆矩阵" descr="PVSC-Net种子2026混淆矩阵" title="PVSC-Net种子2026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562350"/>
                    </a:xfrm>
                    <a:prstGeom prst="rect">
                      <a:avLst/>
                    </a:prstGeom>
                  </pic:spPr>
                </pic:pic>
              </a:graphicData>
            </a:graphic>
          </wp:inline>
        </w:drawing>
      </w:r>
    </w:p>
    <w:p>
      <w:pPr>
        <w:keepNext/>
        <w:spacing w:after="200" w:before="80"/>
        <w:jc w:val="center"/>
      </w:pPr>
      <w:r>
        <w:rPr>
          <w:rFonts w:ascii="SimSun" w:cs="SimSun" w:eastAsia="SimSun" w:hAnsi="SimSun"/>
          <w:b w:val="false"/>
          <w:bCs w:val="false"/>
          <w:i w:val="false"/>
          <w:iCs w:val="false"/>
          <w:color w:val="000000"/>
          <w:sz w:val="21"/>
          <w:szCs w:val="21"/>
        </w:rPr>
        <w:t xml:space="preserve">图3  PVSC-Net窗口级混淆矩阵（种子2026）</w:t>
      </w:r>
    </w:p>
    <w:p>
      <w:pPr>
        <w:pStyle w:val="Heading2"/>
        <w:keepNext/>
        <w:spacing w:after="160" w:before="220"/>
        <w:jc w:val="left"/>
      </w:pPr>
      <w:r>
        <w:rPr>
          <w:rFonts w:ascii="SimHei" w:cs="SimHei" w:eastAsia="SimHei" w:hAnsi="SimHei"/>
          <w:b/>
          <w:bCs/>
          <w:i w:val="false"/>
          <w:iCs w:val="false"/>
          <w:color w:val="000000"/>
          <w:sz w:val="28"/>
          <w:szCs w:val="28"/>
        </w:rPr>
        <w:t xml:space="preserve">实施例六：部署与变形方式</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部署时，加载经验证确定的网络参数及与该网络参数配套的特征变换器参数。对于单个待分类音频窗口，分别构造64×157的对数梅尔频谱和33维辅助声学特征，利用固定的第一标准化、主成分分析、线性判别分析和第二标准化参数获得三维低维辅助特征；将网络设置为推理状态，以潜变量均值向量作为分类器输入，输出四个目标类别对应的未归一化分值和类别索引。</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对于连续的待分类源文件，按照与训练阶段一致的窗口长度和窗口步长生成多个音频窗口。可对各窗口的未归一化分值求算术平均并选择最大分量对应的目标类别，也可采用多数投票或置信度加权平均确定源文件级目标类别。源文件级聚合方式不改变窗口级网络的训练过程。</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在保持源文件级数据隔离、训练数据内特征变换、主辅特征融合以及训练随机而推理确定的潜变量生成机制的条件下，梅尔频带数、卷积通道数、潜变量维数、辅助嵌入维数、窗口长度、目标类别数和潜变量噪声比例可根据采样率、计算资源及目标种类进行调整；组归一化可替换为其他适用于相应批量规模的归一化方式；辅助声学特征还可包含与目标机械振动或调制特性相关的其他统计量。</w:t>
      </w:r>
    </w:p>
    <w:p>
      <w:pPr>
        <w:keepNext w:val="false"/>
        <w:spacing w:after="120" w:before="0" w:line="360"/>
        <w:ind w:firstLine="480"/>
        <w:jc w:val="both"/>
      </w:pPr>
      <w:r>
        <w:rPr>
          <w:rFonts w:ascii="SimSun" w:cs="SimSun" w:eastAsia="SimSun" w:hAnsi="SimSun"/>
          <w:b w:val="false"/>
          <w:bCs w:val="false"/>
          <w:i w:val="false"/>
          <w:iCs w:val="false"/>
          <w:color w:val="000000"/>
          <w:sz w:val="24"/>
          <w:szCs w:val="24"/>
        </w:rPr>
        <w:t xml:space="preserve">本发明的方法可运行于岸基工作站、船载计算机、水下监听节点、浮标处理终端或云端服务器。系统可进一步包括水听器、模数转换模块、音频缓存模块、告警模块及结果显示模块。</w:t>
      </w:r>
    </w:p>
    <w:p>
      <w:r>
        <w:br w:type="page"/>
      </w:r>
    </w:p>
    <w:p>
      <w:pPr>
        <w:keepNext/>
        <w:spacing w:after="260" w:before="100"/>
        <w:jc w:val="center"/>
      </w:pPr>
      <w:r>
        <w:rPr>
          <w:rFonts w:ascii="SimHei" w:cs="SimHei" w:eastAsia="SimHei" w:hAnsi="SimHei"/>
          <w:b/>
          <w:bCs/>
          <w:i w:val="false"/>
          <w:iCs w:val="false"/>
          <w:color w:val="000000"/>
          <w:sz w:val="36"/>
          <w:szCs w:val="36"/>
        </w:rPr>
        <w:t xml:space="preserve">说 明 书 附 图</w:t>
      </w:r>
    </w:p>
    <w:p>
      <w:pPr>
        <w:spacing w:after="80" w:before="120"/>
        <w:jc w:val="center"/>
      </w:pPr>
      <w:r>
        <w:drawing>
          <wp:inline distT="0" distB="0" distL="0" distR="0">
            <wp:extent cx="6096000" cy="2809875"/>
            <wp:effectExtent t="0" r="0" b="0" l="0"/>
            <wp:docPr id="1" name="图1 PVSC-Net网络结构" descr="图1 PVSC-Net网络结构" title="图1 PVSC-Net网络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809875"/>
                    </a:xfrm>
                    <a:prstGeom prst="rect">
                      <a:avLst/>
                    </a:prstGeom>
                  </pic:spPr>
                </pic:pic>
              </a:graphicData>
            </a:graphic>
          </wp:inline>
        </w:drawing>
      </w:r>
    </w:p>
    <w:p>
      <w:pPr>
        <w:keepNext/>
        <w:spacing w:after="200" w:before="80"/>
        <w:jc w:val="center"/>
      </w:pPr>
      <w:r>
        <w:rPr>
          <w:rFonts w:ascii="SimSun" w:cs="SimSun" w:eastAsia="SimSun" w:hAnsi="SimSun"/>
          <w:b w:val="false"/>
          <w:bCs w:val="false"/>
          <w:i w:val="false"/>
          <w:iCs w:val="false"/>
          <w:color w:val="000000"/>
          <w:sz w:val="21"/>
          <w:szCs w:val="21"/>
        </w:rPr>
        <w:t xml:space="preserve">图1  PVSC-Net网络结构</w:t>
      </w:r>
    </w:p>
    <w:p>
      <w:pPr>
        <w:spacing w:after="80" w:before="120"/>
        <w:jc w:val="center"/>
      </w:pPr>
      <w:r>
        <w:drawing>
          <wp:inline distT="0" distB="0" distL="0" distR="0">
            <wp:extent cx="6096000" cy="2390775"/>
            <wp:effectExtent t="0" r="0" b="0" l="0"/>
            <wp:docPr id="1" name="图2 三种子对比实验" descr="图2 三种子对比实验" title="图2 三种子对比实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390775"/>
                    </a:xfrm>
                    <a:prstGeom prst="rect">
                      <a:avLst/>
                    </a:prstGeom>
                  </pic:spPr>
                </pic:pic>
              </a:graphicData>
            </a:graphic>
          </wp:inline>
        </w:drawing>
      </w:r>
    </w:p>
    <w:p>
      <w:pPr>
        <w:keepNext/>
        <w:spacing w:after="200" w:before="80"/>
        <w:jc w:val="center"/>
      </w:pPr>
      <w:r>
        <w:rPr>
          <w:rFonts w:ascii="SimSun" w:cs="SimSun" w:eastAsia="SimSun" w:hAnsi="SimSun"/>
          <w:b w:val="false"/>
          <w:bCs w:val="false"/>
          <w:i w:val="false"/>
          <w:iCs w:val="false"/>
          <w:color w:val="000000"/>
          <w:sz w:val="21"/>
          <w:szCs w:val="21"/>
        </w:rPr>
        <w:t xml:space="preserve">图2  PVSC-Net与两个受控对照模型的三种子窗口级准确率</w:t>
      </w:r>
    </w:p>
    <w:p>
      <w:pPr>
        <w:spacing w:after="80" w:before="120"/>
        <w:jc w:val="center"/>
      </w:pPr>
      <w:r>
        <w:drawing>
          <wp:inline distT="0" distB="0" distL="0" distR="0">
            <wp:extent cx="4191000" cy="3648075"/>
            <wp:effectExtent t="0" r="0" b="0" l="0"/>
            <wp:docPr id="1" name="图3 PVSC-Net混淆矩阵" descr="图3 PVSC-Net混淆矩阵" title="图3 PVSC-Net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648075"/>
                    </a:xfrm>
                    <a:prstGeom prst="rect">
                      <a:avLst/>
                    </a:prstGeom>
                  </pic:spPr>
                </pic:pic>
              </a:graphicData>
            </a:graphic>
          </wp:inline>
        </w:drawing>
      </w:r>
    </w:p>
    <w:p>
      <w:pPr>
        <w:keepNext/>
        <w:spacing w:after="200" w:before="80"/>
        <w:jc w:val="center"/>
      </w:pPr>
      <w:r>
        <w:rPr>
          <w:rFonts w:ascii="SimSun" w:cs="SimSun" w:eastAsia="SimSun" w:hAnsi="SimSun"/>
          <w:b w:val="false"/>
          <w:bCs w:val="false"/>
          <w:i w:val="false"/>
          <w:iCs w:val="false"/>
          <w:color w:val="000000"/>
          <w:sz w:val="21"/>
          <w:szCs w:val="21"/>
        </w:rPr>
        <w:t xml:space="preserve">图3  PVSC-Net窗口级混淆矩阵（种子2026）</w:t>
      </w:r>
    </w:p>
    <w:p>
      <w:r>
        <w:br w:type="page"/>
      </w:r>
    </w:p>
    <w:p>
      <w:pPr>
        <w:keepNext/>
        <w:spacing w:after="260" w:before="100"/>
        <w:jc w:val="center"/>
      </w:pPr>
      <w:r>
        <w:rPr>
          <w:rFonts w:ascii="SimHei" w:cs="SimHei" w:eastAsia="SimHei" w:hAnsi="SimHei"/>
          <w:b/>
          <w:bCs/>
          <w:i w:val="false"/>
          <w:iCs w:val="false"/>
          <w:color w:val="000000"/>
          <w:sz w:val="36"/>
          <w:szCs w:val="36"/>
        </w:rPr>
        <w:t xml:space="preserve">申请信息填写页（不属于说明书正文）</w:t>
      </w:r>
    </w:p>
    <w:p>
      <w:pPr>
        <w:keepNext w:val="false"/>
        <w:spacing w:after="120" w:before="0" w:line="360"/>
        <w:jc w:val="both"/>
      </w:pPr>
      <w:r>
        <w:rPr>
          <w:rFonts w:ascii="SimSun" w:cs="SimSun" w:eastAsia="SimSun" w:hAnsi="SimSun"/>
          <w:b w:val="false"/>
          <w:bCs w:val="false"/>
          <w:i w:val="false"/>
          <w:iCs w:val="false"/>
          <w:color w:val="000000"/>
          <w:sz w:val="24"/>
          <w:szCs w:val="24"/>
        </w:rPr>
        <w:t xml:space="preserve">申请人：____________________________</w:t>
      </w:r>
    </w:p>
    <w:p>
      <w:pPr>
        <w:keepNext w:val="false"/>
        <w:spacing w:after="120" w:before="0" w:line="360"/>
        <w:jc w:val="both"/>
      </w:pPr>
      <w:r>
        <w:rPr>
          <w:rFonts w:ascii="SimSun" w:cs="SimSun" w:eastAsia="SimSun" w:hAnsi="SimSun"/>
          <w:b w:val="false"/>
          <w:bCs w:val="false"/>
          <w:i w:val="false"/>
          <w:iCs w:val="false"/>
          <w:color w:val="000000"/>
          <w:sz w:val="24"/>
          <w:szCs w:val="24"/>
        </w:rPr>
        <w:t xml:space="preserve">发明人：____________________________</w:t>
      </w:r>
    </w:p>
    <w:p>
      <w:pPr>
        <w:keepNext w:val="false"/>
        <w:spacing w:after="120" w:before="0" w:line="360"/>
        <w:jc w:val="both"/>
      </w:pPr>
      <w:r>
        <w:rPr>
          <w:rFonts w:ascii="SimSun" w:cs="SimSun" w:eastAsia="SimSun" w:hAnsi="SimSun"/>
          <w:b w:val="false"/>
          <w:bCs w:val="false"/>
          <w:i w:val="false"/>
          <w:iCs w:val="false"/>
          <w:color w:val="000000"/>
          <w:sz w:val="24"/>
          <w:szCs w:val="24"/>
        </w:rPr>
        <w:t xml:space="preserve">联系人及电话：______________________</w:t>
      </w:r>
    </w:p>
    <w:p>
      <w:pPr>
        <w:keepNext w:val="false"/>
        <w:spacing w:after="120" w:before="0" w:line="360"/>
        <w:jc w:val="both"/>
      </w:pPr>
      <w:r>
        <w:rPr>
          <w:rFonts w:ascii="SimSun" w:cs="SimSun" w:eastAsia="SimSun" w:hAnsi="SimSun"/>
          <w:b w:val="false"/>
          <w:bCs w:val="false"/>
          <w:i w:val="false"/>
          <w:iCs w:val="false"/>
          <w:color w:val="000000"/>
          <w:sz w:val="24"/>
          <w:szCs w:val="24"/>
        </w:rPr>
        <w:t xml:space="preserve">代理机构/代理师：___________________</w:t>
      </w:r>
    </w:p>
    <w:p>
      <w:pPr>
        <w:keepNext w:val="false"/>
        <w:spacing w:after="120" w:before="240" w:line="360"/>
        <w:jc w:val="both"/>
      </w:pPr>
      <w:r>
        <w:rPr>
          <w:rFonts w:ascii="SimSun" w:cs="SimSun" w:eastAsia="SimSun" w:hAnsi="SimSun"/>
          <w:b w:val="false"/>
          <w:bCs w:val="false"/>
          <w:i w:val="false"/>
          <w:iCs w:val="false"/>
          <w:color w:val="000000"/>
          <w:sz w:val="24"/>
          <w:szCs w:val="24"/>
        </w:rPr>
        <w:t xml:space="preserve">说明：以上主体信息需由申请人提交前据实填写。正式申报前，建议结合现有技术检索结果，对权利要求保护范围、术语一致性及附图形式进行复核。</w:t>
      </w:r>
    </w:p>
    <w:sectPr>
      <w:footerReference w:type="default" r:id="rId7"/>
      <w:pgSz w:w="11906" w:h="16838" w:orient="portrait"/>
      <w:pgMar w:top="1276" w:right="1440" w:bottom="127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b w:val="false"/>
        <w:bCs w:val="false"/>
        <w:i w:val="false"/>
        <w:iCs w:val="false"/>
        <w:color w:val="000000"/>
        <w:sz w:val="18"/>
        <w:szCs w:val="18"/>
      </w:rPr>
      <w:t xml:space="preserve">第 </w:t>
    </w:r>
    <w:r>
      <w:rPr>
        <w:rFonts w:ascii="SimSun" w:cs="SimSun" w:eastAsia="SimSun" w:hAnsi="SimSun"/>
        <w:sz w:val="18"/>
        <w:szCs w:val="18"/>
      </w:rPr>
      <w:fldChar w:fldCharType="begin"/>
      <w:instrText xml:space="preserve">PAGE</w:instrText>
      <w:fldChar w:fldCharType="separate"/>
      <w:fldChar w:fldCharType="end"/>
    </w:r>
    <w:r>
      <w:rPr>
        <w:rFonts w:ascii="SimSun" w:cs="SimSun" w:eastAsia="SimSun" w:hAnsi="SimSun"/>
        <w:b w:val="false"/>
        <w:bCs w:val="false"/>
        <w:i w:val="false"/>
        <w:iCs w:val="false"/>
        <w:color w:val="00000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color w:val="000000"/>
        <w:sz w:val="24"/>
        <w:szCs w:val="24"/>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20"/>
      <w:outlineLvl w:val="0"/>
    </w:pPr>
    <w:rPr>
      <w:rFonts w:ascii="SimHei" w:cs="SimHei" w:eastAsia="SimHei" w:hAnsi="SimHei"/>
      <w:b/>
      <w:bCs/>
      <w:color w:val="000000"/>
      <w:sz w:val="32"/>
      <w:szCs w:val="32"/>
    </w:rPr>
  </w:style>
  <w:style w:type="paragraph" w:styleId="Heading2">
    <w:name w:val="Heading 2"/>
    <w:basedOn w:val="Normal"/>
    <w:next w:val="Normal"/>
    <w:qFormat/>
    <w:pPr>
      <w:spacing w:after="140" w:before="180"/>
      <w:outlineLvl w:val="1"/>
    </w:pPr>
    <w:rPr>
      <w:rFonts w:ascii="SimHei" w:cs="SimHei" w:eastAsia="SimHei" w:hAnsi="SimHei"/>
      <w:b/>
      <w:bCs/>
      <w:color w:val="000000"/>
      <w:sz w:val="28"/>
      <w:szCs w:val="28"/>
    </w:rPr>
  </w:style>
  <w:style w:type="paragraph" w:styleId="Heading3">
    <w:name w:val="Heading 3"/>
    <w:basedOn w:val="Normal"/>
    <w:next w:val="Normal"/>
    <w:qFormat/>
    <w:pPr>
      <w:spacing w:after="120" w:before="160"/>
      <w:outlineLvl w:val="2"/>
    </w:pPr>
    <w:rPr>
      <w:rFonts w:ascii="SimHei" w:cs="SimHei" w:eastAsia="SimHei" w:hAnsi="SimHe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ee9345f17d4f8682b59e3094357a00de9182ac7.png"/><Relationship Id="rId9" Type="http://schemas.openxmlformats.org/officeDocument/2006/relationships/image" Target="media/e6ee3b2f918d56c1892f2be05d3473c2700734ba.png"/><Relationship Id="rId10" Type="http://schemas.openxmlformats.org/officeDocument/2006/relationships/image" Target="media/bed595c356db41982d1a965acaaeb64c0e0e62a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PVSC-Net水下声学目标分类方法发明专利</dc:title>
  <dc:subject>PVSC-Net水下声学目标分类方法</dc:subject>
  <dc:description>发明专利申请文件</dc:description>
  <cp:lastModifiedBy>Un-named</cp:lastModifiedBy>
  <cp:revision>1</cp:revision>
  <dcterms:created xsi:type="dcterms:W3CDTF">2026-07-22T07:47:40.301Z</dcterms:created>
  <dcterms:modified xsi:type="dcterms:W3CDTF">2026-07-22T07:47:40.302Z</dcterms:modified>
</cp:coreProperties>
</file>

<file path=docProps/custom.xml><?xml version="1.0" encoding="utf-8"?>
<Properties xmlns="http://schemas.openxmlformats.org/officeDocument/2006/custom-properties" xmlns:vt="http://schemas.openxmlformats.org/officeDocument/2006/docPropsVTypes"/>
</file>