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Document: Intrinsic Structural Metadata (ISM) — A New Paradigm in Compression Intelligence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 Intrinsic Structural Metadata (ISM) is a revolutionary concept in data compression and storage where the process of compression inherently extracts and preserves the data's identity, structure, and meaning. Rather than relying on externally attached metadata, ISM emerges directly from the data's entropy, frequency composition, and structural coherence during compression. This document outlines the value, theory, and broad potential of ISM in computation, AI, memory systems, and intelligent storage.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Core Concept: ISM leverages the Quantum Balance Equation (QBE), Fourier transformation, and entropy analysis to generate self-describing compressed data. Each chunk of compressed data is embedded with: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Entropy score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Spectral centroid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Spectral energy (power)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Dominant frequency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QBE value (structural energy per entropy)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data becomes not only compressed but computationally active, ready for intelligent filtering, querying, inference, and memory optimization.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Virtual Computational Model (QBE + Schrödinger + Einstein Framework): A major advancement enabled by ISM is the ability to partially compute directly on compressed data using a hybrid physical-mathematical model: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Quantum Balance Equation (QBE) — defines the relationship between entropy, energy, and structure: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Schrödinger's Equation — simulates time evolution of each compressed chunk as a wavefunction: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Einstein’s Mass-Energy Equivalence — bridges signal energy with physical computation by using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Together, these enable compressed chunks to act as computational wave objects, where structure evolves over time, and high-QBE values indicate meaningful data. This model supports structure-aware signal computation without decompression, unlocking pre-inference, anomaly detection, and AI reasoning in a compressed domain.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Why It Matters: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compression is the metadata — No extra annotations or indexing required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Identity is embedded structurally — The data carries its own fingerprint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evolves alongside the data — Compression adapts, and so does the metadata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Structure-awareness powers AI — AI systems can access content-aware embeddings natively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Wave-based computing — enables low-energy inference and self-evolving memory structures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Potential Uses and Strategic Value: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Data Storage &amp; Archiving: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Intelligent archiving with structure-aware indexing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Pre-query and micro-query capability before decompression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Elimination of redundant caching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AI Memory &amp; Embedding Systems: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Store entire embedding sets with structure-awareness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Group similar embeddings via QBE/entropy for contextual intelligence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Build compressed memory with pre-query gates and AI-driven feedback loops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Edge Devices &amp; Streaming: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Localized pre-query filtering without decompression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Reduced transmission bandwidth for unstructured data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Intelligent streaming prioritization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 Medical, Financial, and Scientific Intelligence: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Pre-analyze biosignals, financial data, and sensor logs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Run anomaly detection or event extraction on compressed signals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Enable compressed-domain computation across domains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5. Security &amp; Cryptographic Triage: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Identify structured vs. encrypted content without decryption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Score entropy and structure for covert signal detection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Why This Changes the Game: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Traditional compression hides structure — ISM reveals it.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Metadata usually requires separate storage — ISM builds it in.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Query systems rely on indexes — ISM supports native pre-query from structure.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AI models depend on decoded embeddings — ISM enables embedding-awareness during compression.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Now supports wave-function level computation — using physics-aligned modeling for real-time signal evolution.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Conclusion: ISM, powered by the CoreWave + QBE framework, introduces a new layer of computational intelligence to data compression. It enables models, systems, and storage devices to extract insight, identity, and intelligence from data as it is compressed. This self-describing, structure-preserving approach creates a future where data is not only stored efficiently but is aware of itself, queryable, and primed for intelligent action.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ISM is not just a method. It's a foundational shift toward intelligent information architecture — and a step toward wave-based, physics-aligned computation inside compression itself.</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