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eastAsia="Times New Roman" w:cs="Times New Roman"/>
          <w:b/>
          <w:b/>
          <w:bCs/>
        </w:rPr>
      </w:pPr>
      <w:r>
        <w:rPr>
          <w:rFonts w:eastAsia="Times New Roman" w:cs="Times New Roman" w:ascii="Times New Roman" w:hAnsi="Times New Roman"/>
          <w:b/>
          <w:bCs/>
        </w:rPr>
      </w:r>
    </w:p>
    <w:p>
      <w:pPr>
        <w:pStyle w:val="Normal"/>
        <w:rPr>
          <w:rFonts w:ascii="Times New Roman" w:hAnsi="Times New Roman" w:eastAsia="Times New Roman" w:cs="Times New Roman"/>
          <w:b/>
          <w:b/>
          <w:bCs/>
        </w:rPr>
      </w:pPr>
      <w:r>
        <w:rPr>
          <w:rFonts w:eastAsia="Times New Roman" w:cs="Times New Roman" w:ascii="Times New Roman" w:hAnsi="Times New Roman"/>
          <w:b/>
          <w:bCs/>
        </w:rPr>
      </w:r>
    </w:p>
    <w:p>
      <w:pPr>
        <w:pStyle w:val="Normal"/>
        <w:jc w:val="center"/>
        <w:rPr>
          <w:rFonts w:ascii="Times New Roman" w:hAnsi="Times New Roman"/>
        </w:rPr>
      </w:pPr>
      <w:r>
        <w:rPr>
          <w:rFonts w:eastAsia="Times New Roman" w:cs="Times New Roman" w:ascii="Times New Roman" w:hAnsi="Times New Roman"/>
          <w:b/>
          <w:bCs/>
        </w:rPr>
        <w:t>PLAGIARISM DECLARATION</w:t>
      </w:r>
    </w:p>
    <w:p>
      <w:pPr>
        <w:pStyle w:val="Normal"/>
        <w:jc w:val="center"/>
        <w:rPr>
          <w:rFonts w:ascii="Times New Roman" w:hAnsi="Times New Roman" w:eastAsia="Times New Roman" w:cs="Times New Roman"/>
          <w:b/>
          <w:b/>
          <w:bCs/>
        </w:rPr>
      </w:pPr>
      <w:r>
        <w:rPr>
          <w:rFonts w:eastAsia="Times New Roman" w:cs="Times New Roman" w:ascii="Times New Roman" w:hAnsi="Times New Roman"/>
          <w:b/>
          <w:bCs/>
        </w:rPr>
      </w:r>
    </w:p>
    <w:p>
      <w:pPr>
        <w:pStyle w:val="Normal"/>
        <w:jc w:val="center"/>
        <w:rPr>
          <w:rFonts w:ascii="Times New Roman" w:hAnsi="Times New Roman" w:eastAsia="Times New Roman" w:cs="Times New Roman"/>
          <w:b/>
          <w:b/>
          <w:bCs/>
        </w:rPr>
      </w:pPr>
      <w:r>
        <w:rPr>
          <w:rFonts w:eastAsia="Times New Roman" w:cs="Times New Roman" w:ascii="Times New Roman" w:hAnsi="Times New Roman"/>
          <w:b/>
          <w:bCs/>
        </w:rPr>
        <mc:AlternateContent>
          <mc:Choice Requires="wps">
            <w:drawing>
              <wp:anchor behindDoc="0" distT="52070" distB="48895" distL="117475" distR="122555" simplePos="0" locked="0" layoutInCell="0" allowOverlap="1" relativeHeight="2" wp14:anchorId="015375E2">
                <wp:simplePos x="0" y="0"/>
                <wp:positionH relativeFrom="column">
                  <wp:posOffset>-57150</wp:posOffset>
                </wp:positionH>
                <wp:positionV relativeFrom="paragraph">
                  <wp:posOffset>259080</wp:posOffset>
                </wp:positionV>
                <wp:extent cx="5845175" cy="1228090"/>
                <wp:effectExtent l="5715" t="5080" r="4445" b="5080"/>
                <wp:wrapSquare wrapText="bothSides"/>
                <wp:docPr id="1" name="Text Box 2"/>
                <a:graphic xmlns:a="http://schemas.openxmlformats.org/drawingml/2006/main">
                  <a:graphicData uri="http://schemas.microsoft.com/office/word/2010/wordprocessingShape">
                    <wps:wsp>
                      <wps:cNvSpPr/>
                      <wps:spPr>
                        <a:xfrm>
                          <a:off x="0" y="0"/>
                          <a:ext cx="5845320" cy="12279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jc w:val="center"/>
                              <w:rPr>
                                <w:rFonts w:ascii="Tahoma" w:hAnsi="Tahoma" w:cs="Tahoma"/>
                                <w:b/>
                                <w:b/>
                                <w:sz w:val="22"/>
                                <w:szCs w:val="22"/>
                                <w:lang w:val="en-ZA"/>
                              </w:rPr>
                            </w:pPr>
                            <w:r>
                              <w:rPr>
                                <w:rFonts w:cs="Tahoma" w:ascii="Tahoma" w:hAnsi="Tahoma"/>
                                <w:b/>
                                <w:color w:val="000000"/>
                                <w:sz w:val="22"/>
                                <w:szCs w:val="22"/>
                                <w:lang w:val="en-ZA"/>
                              </w:rPr>
                              <w:t>PLAGIARISM</w:t>
                            </w:r>
                          </w:p>
                          <w:p>
                            <w:pPr>
                              <w:pStyle w:val="FrameContents"/>
                              <w:jc w:val="center"/>
                              <w:rPr>
                                <w:rFonts w:ascii="Tahoma" w:hAnsi="Tahoma" w:cs="Tahoma"/>
                                <w:b/>
                                <w:b/>
                                <w:sz w:val="22"/>
                                <w:szCs w:val="22"/>
                                <w:lang w:val="en-ZA"/>
                              </w:rPr>
                            </w:pPr>
                            <w:r>
                              <w:rPr>
                                <w:rFonts w:cs="Tahoma" w:ascii="Tahoma" w:hAnsi="Tahoma"/>
                                <w:b/>
                                <w:color w:val="000000"/>
                                <w:sz w:val="22"/>
                                <w:szCs w:val="22"/>
                                <w:lang w:val="en-ZA"/>
                              </w:rPr>
                            </w:r>
                          </w:p>
                          <w:p>
                            <w:pPr>
                              <w:pStyle w:val="FrameContents"/>
                              <w:rPr>
                                <w:rFonts w:ascii="Tahoma" w:hAnsi="Tahoma" w:cs="Tahoma"/>
                                <w:b/>
                                <w:b/>
                                <w:sz w:val="22"/>
                                <w:szCs w:val="22"/>
                                <w:lang w:val="en-ZA"/>
                              </w:rPr>
                            </w:pPr>
                            <w:r>
                              <w:rPr>
                                <w:rFonts w:cs="Tahoma" w:ascii="Tahoma" w:hAnsi="Tahoma"/>
                                <w:b/>
                                <w:color w:val="000000"/>
                                <w:sz w:val="22"/>
                                <w:szCs w:val="22"/>
                                <w:lang w:val="en-ZA"/>
                              </w:rPr>
                              <w:t>This means that you present substantial portions or elements of another’s work, ideas or data as your own, even if the original author is cited occasionally. A signed photocopy or other copy of the Declaration below must accompany every piece of work that you hand in.</w:t>
                            </w:r>
                          </w:p>
                        </w:txbxContent>
                      </wps:txbx>
                      <wps:bodyPr anchor="t" upright="1">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4.5pt;margin-top:20.4pt;width:460.2pt;height:96.65pt;mso-wrap-style:square;v-text-anchor:top" wp14:anchorId="015375E2">
                <v:fill o:detectmouseclick="t" type="solid" color2="black"/>
                <v:stroke color="black" weight="9360" joinstyle="miter" endcap="flat"/>
                <v:textbox>
                  <w:txbxContent>
                    <w:p>
                      <w:pPr>
                        <w:pStyle w:val="FrameContents"/>
                        <w:jc w:val="center"/>
                        <w:rPr>
                          <w:rFonts w:ascii="Tahoma" w:hAnsi="Tahoma" w:cs="Tahoma"/>
                          <w:b/>
                          <w:b/>
                          <w:sz w:val="22"/>
                          <w:szCs w:val="22"/>
                          <w:lang w:val="en-ZA"/>
                        </w:rPr>
                      </w:pPr>
                      <w:r>
                        <w:rPr>
                          <w:rFonts w:cs="Tahoma" w:ascii="Tahoma" w:hAnsi="Tahoma"/>
                          <w:b/>
                          <w:color w:val="000000"/>
                          <w:sz w:val="22"/>
                          <w:szCs w:val="22"/>
                          <w:lang w:val="en-ZA"/>
                        </w:rPr>
                        <w:t>PLAGIARISM</w:t>
                      </w:r>
                    </w:p>
                    <w:p>
                      <w:pPr>
                        <w:pStyle w:val="FrameContents"/>
                        <w:jc w:val="center"/>
                        <w:rPr>
                          <w:rFonts w:ascii="Tahoma" w:hAnsi="Tahoma" w:cs="Tahoma"/>
                          <w:b/>
                          <w:b/>
                          <w:sz w:val="22"/>
                          <w:szCs w:val="22"/>
                          <w:lang w:val="en-ZA"/>
                        </w:rPr>
                      </w:pPr>
                      <w:r>
                        <w:rPr>
                          <w:rFonts w:cs="Tahoma" w:ascii="Tahoma" w:hAnsi="Tahoma"/>
                          <w:b/>
                          <w:color w:val="000000"/>
                          <w:sz w:val="22"/>
                          <w:szCs w:val="22"/>
                          <w:lang w:val="en-ZA"/>
                        </w:rPr>
                      </w:r>
                    </w:p>
                    <w:p>
                      <w:pPr>
                        <w:pStyle w:val="FrameContents"/>
                        <w:rPr>
                          <w:rFonts w:ascii="Tahoma" w:hAnsi="Tahoma" w:cs="Tahoma"/>
                          <w:b/>
                          <w:b/>
                          <w:sz w:val="22"/>
                          <w:szCs w:val="22"/>
                          <w:lang w:val="en-ZA"/>
                        </w:rPr>
                      </w:pPr>
                      <w:r>
                        <w:rPr>
                          <w:rFonts w:cs="Tahoma" w:ascii="Tahoma" w:hAnsi="Tahoma"/>
                          <w:b/>
                          <w:color w:val="000000"/>
                          <w:sz w:val="22"/>
                          <w:szCs w:val="22"/>
                          <w:lang w:val="en-ZA"/>
                        </w:rPr>
                        <w:t>This means that you present substantial portions or elements of another’s work, ideas or data as your own, even if the original author is cited occasionally. A signed photocopy or other copy of the Declaration below must accompany every piece of work that you hand in.</w:t>
                      </w:r>
                    </w:p>
                  </w:txbxContent>
                </v:textbox>
                <w10:wrap type="square"/>
              </v:rect>
            </w:pict>
          </mc:Fallback>
        </mc:AlternateContent>
      </w:r>
    </w:p>
    <w:p>
      <w:pPr>
        <w:pStyle w:val="Normal"/>
        <w:jc w:val="center"/>
        <w:rPr>
          <w:rFonts w:ascii="Times New Roman" w:hAnsi="Times New Roman" w:eastAsia="Times New Roman" w:cs="Times New Roman"/>
          <w:b/>
          <w:b/>
          <w:bCs/>
        </w:rPr>
      </w:pPr>
      <w:r>
        <w:rPr>
          <w:rFonts w:eastAsia="Times New Roman" w:cs="Times New Roman" w:ascii="Times New Roman" w:hAnsi="Times New Roman"/>
          <w:b/>
          <w:bCs/>
        </w:rPr>
      </w:r>
    </w:p>
    <w:p>
      <w:pPr>
        <w:pStyle w:val="Normal"/>
        <w:jc w:val="center"/>
        <w:rPr>
          <w:rFonts w:ascii="Times New Roman" w:hAnsi="Times New Roman" w:eastAsia="Times New Roman" w:cs="Times New Roman"/>
          <w:b/>
          <w:b/>
          <w:bCs/>
        </w:rPr>
      </w:pPr>
      <w:r>
        <w:rPr>
          <w:rFonts w:eastAsia="Times New Roman" w:cs="Times New Roman" w:ascii="Times New Roman" w:hAnsi="Times New Roman"/>
          <w:b/>
          <w:bCs/>
        </w:rPr>
      </w:r>
    </w:p>
    <w:p>
      <w:pPr>
        <w:pStyle w:val="Normal"/>
        <w:rPr>
          <w:rFonts w:ascii="Times New Roman" w:hAnsi="Times New Roman"/>
        </w:rPr>
      </w:pPr>
      <w:r>
        <w:rPr>
          <w:rFonts w:eastAsia="Times New Roman" w:cs="Times New Roman" w:ascii="Times New Roman" w:hAnsi="Times New Roman"/>
          <w:b/>
          <w:bCs/>
          <w:sz w:val="28"/>
          <w:szCs w:val="28"/>
          <w:u w:val="single"/>
        </w:rPr>
        <w:t>DECLARATION</w:t>
      </w:r>
    </w:p>
    <w:p>
      <w:pPr>
        <w:pStyle w:val="Normal"/>
        <w:rPr>
          <w:rFonts w:ascii="Times New Roman" w:hAnsi="Times New Roman" w:eastAsia="Times New Roman" w:cs="Times New Roman"/>
          <w:b/>
          <w:b/>
          <w:bCs/>
        </w:rPr>
      </w:pPr>
      <w:r>
        <w:rPr>
          <w:rFonts w:eastAsia="Times New Roman" w:cs="Times New Roman" w:ascii="Times New Roman" w:hAnsi="Times New Roman"/>
          <w:b/>
          <w:bCs/>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ind w:left="709" w:hanging="709"/>
        <w:jc w:val="both"/>
        <w:rPr>
          <w:rFonts w:ascii="Times New Roman" w:hAnsi="Times New Roman"/>
        </w:rPr>
      </w:pPr>
      <w:r>
        <w:rPr>
          <w:rFonts w:eastAsia="Times New Roman" w:cs="Times New Roman" w:ascii="Times New Roman" w:hAnsi="Times New Roman"/>
        </w:rPr>
        <w:t>1.</w:t>
      </w:r>
      <w:r>
        <w:rPr>
          <w:rFonts w:ascii="Times New Roman" w:hAnsi="Times New Roman"/>
        </w:rPr>
        <w:tab/>
      </w:r>
      <w:r>
        <w:rPr>
          <w:rFonts w:eastAsia="Times New Roman" w:cs="Times New Roman" w:ascii="Times New Roman" w:hAnsi="Times New Roman"/>
        </w:rPr>
        <w:t>I know that Plagiarism is wrong. Plagiarism is to use another’s work and pretend that it is one’s own.</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BodyTextIndent2"/>
        <w:rPr>
          <w:rFonts w:ascii="Times New Roman" w:hAnsi="Times New Roman"/>
        </w:rPr>
      </w:pPr>
      <w:r>
        <w:rPr>
          <w:rFonts w:eastAsia="Times New Roman" w:cs="Times New Roman" w:ascii="Times New Roman" w:hAnsi="Times New Roman"/>
        </w:rPr>
        <w:t>2.</w:t>
      </w:r>
      <w:r>
        <w:rPr>
          <w:rFonts w:ascii="Times New Roman" w:hAnsi="Times New Roman"/>
        </w:rPr>
        <w:tab/>
      </w:r>
      <w:r>
        <w:rPr>
          <w:rFonts w:eastAsia="Times New Roman" w:cs="Times New Roman" w:ascii="Times New Roman" w:hAnsi="Times New Roman"/>
        </w:rPr>
        <w:t>I have used the American Psychological Association formatting for citation and referencing. Each significant contribution to, and quotation in, this essay/report/project from the work or works of other people has been attributed, cited and referenced.</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rPr>
      </w:pPr>
      <w:r>
        <w:rPr>
          <w:rFonts w:eastAsia="Times New Roman" w:cs="Times New Roman" w:ascii="Times New Roman" w:hAnsi="Times New Roman"/>
        </w:rPr>
        <w:t>3.</w:t>
      </w:r>
      <w:r>
        <w:rPr>
          <w:rFonts w:ascii="Times New Roman" w:hAnsi="Times New Roman"/>
        </w:rPr>
        <w:tab/>
      </w:r>
      <w:r>
        <w:rPr>
          <w:rFonts w:eastAsia="Times New Roman" w:cs="Times New Roman" w:ascii="Times New Roman" w:hAnsi="Times New Roman"/>
        </w:rPr>
        <w:t>This essay/report/project is my own work.</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ind w:left="720" w:hanging="720"/>
        <w:jc w:val="both"/>
        <w:rPr>
          <w:rFonts w:ascii="Times New Roman" w:hAnsi="Times New Roman"/>
        </w:rPr>
      </w:pPr>
      <w:r>
        <w:rPr>
          <w:rFonts w:eastAsia="Times New Roman" w:cs="Times New Roman" w:ascii="Times New Roman" w:hAnsi="Times New Roman"/>
        </w:rPr>
        <w:t>4.</w:t>
      </w:r>
      <w:r>
        <w:rPr>
          <w:rFonts w:ascii="Times New Roman" w:hAnsi="Times New Roman"/>
        </w:rPr>
        <w:tab/>
      </w:r>
      <w:r>
        <w:rPr>
          <w:rFonts w:eastAsia="Times New Roman" w:cs="Times New Roman" w:ascii="Times New Roman" w:hAnsi="Times New Roman"/>
        </w:rPr>
        <w:t>I have not allowed, and will not allow anyone to copy my work with the intention of passing it off as his or her own work.</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rPr>
          <w:rFonts w:ascii="Times New Roman" w:hAnsi="Times New Roman"/>
        </w:rPr>
      </w:pPr>
      <w:r>
        <w:rPr>
          <w:rFonts w:eastAsia="Times New Roman" w:cs="Times New Roman" w:ascii="Times New Roman" w:hAnsi="Times New Roman"/>
          <w:b/>
          <w:bCs/>
        </w:rPr>
        <w:t>NAME: Dawn Opert</w:t>
      </w:r>
    </w:p>
    <w:p>
      <w:pPr>
        <w:pStyle w:val="Normal"/>
        <w:spacing w:lineRule="auto" w:line="480"/>
        <w:rPr>
          <w:rFonts w:ascii="Times New Roman" w:hAnsi="Times New Roman"/>
        </w:rPr>
      </w:pPr>
      <w:r>
        <w:rPr>
          <w:rFonts w:eastAsia="Times New Roman" w:cs="Times New Roman" w:ascii="Times New Roman" w:hAnsi="Times New Roman"/>
          <w:b/>
          <w:bCs/>
        </w:rPr>
        <w:t>SIGNATURE: D. Opert</w:t>
      </w:r>
    </w:p>
    <w:p>
      <w:pPr>
        <w:pStyle w:val="Normal"/>
        <w:spacing w:lineRule="auto" w:line="480"/>
        <w:rPr>
          <w:rFonts w:ascii="Times New Roman" w:hAnsi="Times New Roman"/>
        </w:rPr>
      </w:pPr>
      <w:r>
        <w:rPr>
          <w:rFonts w:eastAsia="Times New Roman" w:cs="Times New Roman" w:ascii="Times New Roman" w:hAnsi="Times New Roman"/>
          <w:b/>
          <w:bCs/>
        </w:rPr>
        <w:t>STUDENT NUMBER: OPRNET001</w:t>
      </w:r>
    </w:p>
    <w:p>
      <w:pPr>
        <w:pStyle w:val="Normal"/>
        <w:spacing w:lineRule="auto" w:line="480"/>
        <w:rPr>
          <w:rFonts w:ascii="Times New Roman" w:hAnsi="Times New Roman"/>
        </w:rPr>
      </w:pPr>
      <w:r>
        <w:rPr>
          <w:rFonts w:eastAsia="Times New Roman" w:cs="Times New Roman" w:ascii="Times New Roman" w:hAnsi="Times New Roman"/>
          <w:b/>
          <w:bCs/>
        </w:rPr>
        <w:t>TUTOR’S NAME: Katya Kee-Tui</w:t>
      </w:r>
    </w:p>
    <w:p>
      <w:pPr>
        <w:pStyle w:val="Normal"/>
        <w:spacing w:lineRule="auto" w:line="480"/>
        <w:rPr>
          <w:rFonts w:ascii="Times New Roman" w:hAnsi="Times New Roman"/>
        </w:rPr>
      </w:pPr>
      <w:r>
        <w:rPr>
          <w:rFonts w:eastAsia="Times New Roman" w:cs="Times New Roman" w:ascii="Times New Roman" w:hAnsi="Times New Roman"/>
          <w:b/>
          <w:bCs/>
        </w:rPr>
        <w:t>TUT GROUP NUMBER: 03</w:t>
      </w:r>
    </w:p>
    <w:p>
      <w:pPr>
        <w:pStyle w:val="Normal"/>
        <w:rPr>
          <w:rFonts w:ascii="Times New Roman" w:hAnsi="Times New Roman"/>
        </w:rPr>
      </w:pPr>
      <w:r>
        <w:rPr>
          <w:rFonts w:ascii="Times New Roman" w:hAnsi="Times New Roman"/>
        </w:rPr>
      </w:r>
      <w:r>
        <w:br w:type="page"/>
      </w:r>
    </w:p>
    <w:p>
      <w:pPr>
        <w:pStyle w:val="Normal"/>
        <w:widowControl/>
        <w:suppressAutoHyphens w:val="true"/>
        <w:bidi w:val="0"/>
        <w:spacing w:lineRule="auto" w:line="360" w:before="0" w:after="0"/>
        <w:ind w:left="0" w:right="0" w:hanging="0"/>
        <w:jc w:val="both"/>
        <w:rPr>
          <w:rFonts w:ascii="Times New Roman" w:hAnsi="Times New Roman"/>
          <w:sz w:val="24"/>
          <w:szCs w:val="24"/>
        </w:rPr>
      </w:pPr>
      <w:r>
        <w:rPr>
          <w:rFonts w:eastAsia="Times New Roman" w:cs="Times New Roman" w:ascii="Times New Roman" w:hAnsi="Times New Roman"/>
          <w:b w:val="false"/>
          <w:bCs w:val="false"/>
          <w:sz w:val="24"/>
          <w:szCs w:val="24"/>
        </w:rPr>
        <w:t xml:space="preserve">Good mental health is foundational to </w:t>
      </w:r>
      <w:r>
        <w:rPr>
          <w:rFonts w:eastAsia="Times New Roman" w:cs="Times New Roman" w:ascii="Times New Roman" w:hAnsi="Times New Roman"/>
          <w:b w:val="false"/>
          <w:bCs w:val="false"/>
          <w:sz w:val="24"/>
          <w:szCs w:val="24"/>
        </w:rPr>
        <w:t>physical</w:t>
      </w:r>
      <w:r>
        <w:rPr>
          <w:rFonts w:eastAsia="Times New Roman" w:cs="Times New Roman" w:ascii="Times New Roman" w:hAnsi="Times New Roman"/>
          <w:b w:val="false"/>
          <w:bCs w:val="false"/>
          <w:sz w:val="24"/>
          <w:szCs w:val="24"/>
        </w:rPr>
        <w:t xml:space="preserve"> healthy, a state of emotional security and well-being, and to the socio-economic options that are available to a person across their life (Barry et al., 2013). </w:t>
      </w:r>
      <w:r>
        <w:rPr>
          <w:rFonts w:eastAsia="Times New Roman" w:cs="Times New Roman" w:ascii="Times New Roman" w:hAnsi="Times New Roman"/>
          <w:b w:val="false"/>
          <w:bCs w:val="false"/>
          <w:sz w:val="24"/>
          <w:szCs w:val="24"/>
        </w:rPr>
        <w:t>However</w:t>
      </w:r>
      <w:r>
        <w:rPr>
          <w:rFonts w:eastAsia="Times New Roman" w:cs="Times New Roman" w:ascii="Times New Roman" w:hAnsi="Times New Roman"/>
          <w:b w:val="false"/>
          <w:bCs w:val="false"/>
          <w:sz w:val="24"/>
          <w:szCs w:val="24"/>
        </w:rPr>
        <w:t>, the state of mental health and access to mental health services in Lower- and Middle-Income Countries (LMICs) is dire. Children and adolescents make up a large part of the population in most LMICs, and depression and anxiety among this demographic constitutes a siz</w:t>
      </w:r>
      <w:r>
        <w:rPr>
          <w:rFonts w:eastAsia="Times New Roman" w:cs="Times New Roman" w:ascii="Times New Roman" w:hAnsi="Times New Roman"/>
          <w:b w:val="false"/>
          <w:bCs w:val="false"/>
          <w:sz w:val="24"/>
          <w:szCs w:val="24"/>
        </w:rPr>
        <w:t>e</w:t>
      </w:r>
      <w:r>
        <w:rPr>
          <w:rFonts w:eastAsia="Times New Roman" w:cs="Times New Roman" w:ascii="Times New Roman" w:hAnsi="Times New Roman"/>
          <w:b w:val="false"/>
          <w:bCs w:val="false"/>
          <w:sz w:val="24"/>
          <w:szCs w:val="24"/>
        </w:rPr>
        <w:t xml:space="preserve">able portion of the mental health burden (Barry et al., 2013; Osborn et al., 2021). </w:t>
      </w:r>
      <w:r>
        <w:rPr>
          <w:rFonts w:eastAsia="Times New Roman" w:cs="Times New Roman" w:ascii="Times New Roman" w:hAnsi="Times New Roman"/>
          <w:b w:val="false"/>
          <w:bCs w:val="false"/>
          <w:sz w:val="24"/>
          <w:szCs w:val="24"/>
        </w:rPr>
        <w:t>A</w:t>
      </w:r>
      <w:r>
        <w:rPr>
          <w:rFonts w:eastAsia="Times New Roman" w:cs="Times New Roman" w:ascii="Times New Roman" w:hAnsi="Times New Roman"/>
          <w:b w:val="false"/>
          <w:bCs w:val="false"/>
          <w:sz w:val="24"/>
          <w:szCs w:val="24"/>
        </w:rPr>
        <w:t xml:space="preserve">ccess to the necessary care is scarce in the communities that need it the most (Osborn, Venturo-Conerly, et al., 2020; Osborn, Wasil, et al., 2020; Osborn et al., 2021). Universal mental health promotion programmes in schools have the potential to address some of the core problems outlined above, </w:t>
      </w:r>
      <w:r>
        <w:rPr>
          <w:rFonts w:eastAsia="Times New Roman" w:cs="Times New Roman" w:ascii="Times New Roman" w:hAnsi="Times New Roman"/>
          <w:b w:val="false"/>
          <w:bCs w:val="false"/>
          <w:sz w:val="24"/>
          <w:szCs w:val="24"/>
        </w:rPr>
        <w:t>and promise efficient and scalable programs</w:t>
      </w:r>
      <w:r>
        <w:rPr>
          <w:rFonts w:eastAsia="Times New Roman" w:cs="Times New Roman" w:ascii="Times New Roman" w:hAnsi="Times New Roman"/>
          <w:b w:val="false"/>
          <w:bCs w:val="false"/>
          <w:sz w:val="24"/>
          <w:szCs w:val="24"/>
        </w:rPr>
        <w:t>. However, there are still significant barriers to the implementation of these programme</w:t>
      </w:r>
      <w:r>
        <w:rPr>
          <w:rFonts w:eastAsia="Times New Roman" w:cs="Times New Roman" w:ascii="Times New Roman" w:hAnsi="Times New Roman"/>
          <w:b w:val="false"/>
          <w:bCs w:val="false"/>
          <w:sz w:val="24"/>
          <w:szCs w:val="24"/>
        </w:rPr>
        <w:t xml:space="preserve">s </w:t>
      </w:r>
      <w:r>
        <w:rPr>
          <w:rFonts w:eastAsia="Times New Roman" w:cs="Times New Roman" w:ascii="Times New Roman" w:hAnsi="Times New Roman"/>
          <w:b w:val="false"/>
          <w:bCs w:val="false"/>
          <w:sz w:val="24"/>
          <w:szCs w:val="24"/>
        </w:rPr>
        <w:t>(O’Reilly et al., 2018; Osborn, Venturo-Conerly, et al., 2020).</w:t>
      </w:r>
    </w:p>
    <w:p>
      <w:pPr>
        <w:pStyle w:val="Normal"/>
        <w:spacing w:lineRule="auto" w:line="360"/>
        <w:jc w:val="both"/>
        <w:rPr>
          <w:rFonts w:ascii="Times New Roman" w:hAnsi="Times New Roman"/>
          <w:sz w:val="24"/>
          <w:szCs w:val="24"/>
        </w:rPr>
      </w:pPr>
      <w:r>
        <w:rPr>
          <w:rFonts w:eastAsia="Times New Roman" w:cs="Times New Roman" w:ascii="Times New Roman" w:hAnsi="Times New Roman"/>
          <w:b w:val="false"/>
          <w:bCs w:val="false"/>
          <w:sz w:val="24"/>
          <w:szCs w:val="24"/>
        </w:rPr>
        <w:t>Mental health promotion refers to interventions that focus on giving participants the tools they need to live mentally healthy lives, and creating an environment which naturally lends itself to positive mental health (O’Reilly et al., 2018). Because these programmes aim to prevent the development of mental illness rather than treating problems after they have developed, they can be employed universally, across an entire population rather than only the people who are already at risk (Osborn, Wasil, et al., 2020; Rivet-Duval et al., 2011).</w:t>
      </w:r>
    </w:p>
    <w:p>
      <w:pPr>
        <w:pStyle w:val="Normal"/>
        <w:spacing w:lineRule="auto" w:line="360"/>
        <w:jc w:val="both"/>
        <w:rPr>
          <w:rFonts w:ascii="Times New Roman" w:hAnsi="Times New Roman"/>
          <w:sz w:val="24"/>
          <w:szCs w:val="24"/>
        </w:rPr>
      </w:pPr>
      <w:r>
        <w:rPr>
          <w:rFonts w:eastAsia="Times New Roman" w:cs="Times New Roman" w:ascii="Times New Roman" w:hAnsi="Times New Roman"/>
          <w:b w:val="false"/>
          <w:bCs w:val="false"/>
          <w:sz w:val="24"/>
          <w:szCs w:val="24"/>
        </w:rPr>
        <w:t>LMICs share the greatest portion of the mental health burden, but</w:t>
      </w: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they simply do not have the funding for care services</w:t>
      </w:r>
      <w:r>
        <w:rPr>
          <w:rFonts w:eastAsia="Times New Roman" w:cs="Times New Roman" w:ascii="Times New Roman" w:hAnsi="Times New Roman"/>
          <w:b w:val="false"/>
          <w:bCs w:val="false"/>
          <w:sz w:val="24"/>
          <w:szCs w:val="24"/>
        </w:rPr>
        <w:t xml:space="preserve">. Structural issues inhibit access to services, and stigma surrounding mental health issues prevents people from seeking care out of shame (Barry et al., 2013; O’Reilly et al., 2018; Osborn, Venturo-Conerly, et al., 2020). In South Africa there is a severe under-allocation of the health budget towards mental healthcare and an over-reliance on specialised facilities for treatment. </w:t>
      </w:r>
      <w:r>
        <w:rPr>
          <w:rFonts w:eastAsia="Times New Roman" w:cs="Times New Roman" w:ascii="Times New Roman" w:hAnsi="Times New Roman"/>
          <w:b w:val="false"/>
          <w:bCs w:val="false"/>
          <w:sz w:val="24"/>
          <w:szCs w:val="24"/>
        </w:rPr>
        <w:t>Therefore,</w:t>
      </w:r>
      <w:r>
        <w:rPr>
          <w:rFonts w:eastAsia="Times New Roman" w:cs="Times New Roman" w:ascii="Times New Roman" w:hAnsi="Times New Roman"/>
          <w:b w:val="false"/>
          <w:bCs w:val="false"/>
          <w:sz w:val="24"/>
          <w:szCs w:val="24"/>
        </w:rPr>
        <w:t xml:space="preserve"> an otherwise progressive mental health policy is not actually implemented in areas that need it most (Docrat et al., 2019). Interventions need to be effective while also remaining financially feasible for national budgets that are already under immense strain. They must effectively manage the stigma surrounding receiving mental health care, to avoid alienating people who need that care (Osborn, Venturo-Conerly, et al., 2020; Osborn, Wasil, et al., 2020; Osborn et al., 2021). Another limitation </w:t>
      </w:r>
      <w:r>
        <w:rPr>
          <w:rFonts w:eastAsia="Times New Roman" w:cs="Times New Roman" w:ascii="Times New Roman" w:hAnsi="Times New Roman"/>
          <w:b w:val="false"/>
          <w:bCs w:val="false"/>
          <w:sz w:val="24"/>
          <w:szCs w:val="24"/>
        </w:rPr>
        <w:t>of these interventions is that the measures they use have overwhelmingly not been developed for LMICs</w:t>
      </w:r>
      <w:r>
        <w:rPr>
          <w:rFonts w:eastAsia="Times New Roman" w:cs="Times New Roman" w:ascii="Times New Roman" w:hAnsi="Times New Roman"/>
          <w:b w:val="false"/>
          <w:bCs w:val="false"/>
          <w:sz w:val="24"/>
          <w:szCs w:val="24"/>
        </w:rPr>
        <w:t xml:space="preserve"> (Barry et al., 2013; O’Reilly et al., 2018; Osborn, Wasil, et al., 2020).</w:t>
      </w:r>
    </w:p>
    <w:p>
      <w:pPr>
        <w:pStyle w:val="Normal"/>
        <w:spacing w:lineRule="auto" w:line="360"/>
        <w:jc w:val="both"/>
        <w:rPr>
          <w:rFonts w:ascii="Times New Roman" w:hAnsi="Times New Roman"/>
          <w:sz w:val="24"/>
          <w:szCs w:val="24"/>
        </w:rPr>
      </w:pPr>
      <w:r>
        <w:rPr>
          <w:rFonts w:eastAsia="Times New Roman" w:cs="Times New Roman" w:ascii="Times New Roman" w:hAnsi="Times New Roman"/>
          <w:b w:val="false"/>
          <w:bCs w:val="false"/>
          <w:sz w:val="24"/>
          <w:szCs w:val="24"/>
        </w:rPr>
        <w:t>Several</w:t>
      </w:r>
      <w:r>
        <w:rPr>
          <w:rFonts w:eastAsia="Times New Roman" w:cs="Times New Roman" w:ascii="Times New Roman" w:hAnsi="Times New Roman"/>
          <w:b w:val="false"/>
          <w:bCs w:val="false"/>
          <w:sz w:val="24"/>
          <w:szCs w:val="24"/>
        </w:rPr>
        <w:t xml:space="preserve"> universal mental health promotion programmes </w:t>
      </w:r>
      <w:r>
        <w:rPr>
          <w:rFonts w:eastAsia="Times New Roman" w:cs="Times New Roman" w:ascii="Times New Roman" w:hAnsi="Times New Roman"/>
          <w:b w:val="false"/>
          <w:bCs w:val="false"/>
          <w:sz w:val="24"/>
          <w:szCs w:val="24"/>
        </w:rPr>
        <w:t>attempt</w:t>
      </w:r>
      <w:r>
        <w:rPr>
          <w:rFonts w:eastAsia="Times New Roman" w:cs="Times New Roman" w:ascii="Times New Roman" w:hAnsi="Times New Roman"/>
          <w:b w:val="false"/>
          <w:bCs w:val="false"/>
          <w:sz w:val="24"/>
          <w:szCs w:val="24"/>
        </w:rPr>
        <w:t xml:space="preserve"> to meet these challenges. By promoting good mental hygiene and positive psychological concepts rather than relying on psychopathology, these interventions can improve general mental health, and skills for dealing with difficult emotional circumstances (Barry et al., 2013; O’Reilly et al., 2018; Osborn, Wasil, et al., 2020; Osborn et al., 2021; Rivet-Duval et al., 2011). Some have been specifically tested in LMICs and multicultural contexts (Barry et al., 2013; Osborn, Wasil, et al., 2020).</w:t>
      </w:r>
    </w:p>
    <w:p>
      <w:pPr>
        <w:pStyle w:val="Normal"/>
        <w:spacing w:lineRule="auto" w:line="360"/>
        <w:jc w:val="both"/>
        <w:rPr>
          <w:rFonts w:ascii="Times New Roman" w:hAnsi="Times New Roman"/>
          <w:sz w:val="24"/>
          <w:szCs w:val="24"/>
        </w:rPr>
      </w:pPr>
      <w:r>
        <w:rPr>
          <w:rFonts w:eastAsia="Times New Roman" w:cs="Times New Roman" w:ascii="Times New Roman" w:hAnsi="Times New Roman"/>
          <w:b w:val="false"/>
          <w:bCs w:val="false"/>
          <w:sz w:val="24"/>
          <w:szCs w:val="24"/>
        </w:rPr>
        <w:t xml:space="preserve">Two promising programmes, the Shamiri group intervention and the Resourceful Adolescent Program (RAP-A), were both delivered by a limited number of trained lay-persons in a classroom context, mostly teachers who did not require lengthy or expensive training. </w:t>
      </w:r>
      <w:r>
        <w:rPr>
          <w:rFonts w:eastAsia="Times New Roman" w:cs="Times New Roman" w:ascii="Times New Roman" w:hAnsi="Times New Roman"/>
          <w:b w:val="false"/>
          <w:bCs w:val="false"/>
          <w:sz w:val="24"/>
          <w:szCs w:val="24"/>
        </w:rPr>
        <w:t>Each</w:t>
      </w:r>
      <w:r>
        <w:rPr>
          <w:rFonts w:eastAsia="Times New Roman" w:cs="Times New Roman" w:ascii="Times New Roman" w:hAnsi="Times New Roman"/>
          <w:b w:val="false"/>
          <w:bCs w:val="false"/>
          <w:sz w:val="24"/>
          <w:szCs w:val="24"/>
        </w:rPr>
        <w:t xml:space="preserve"> included </w:t>
      </w:r>
      <w:r>
        <w:rPr>
          <w:rFonts w:eastAsia="Times New Roman" w:cs="Times New Roman" w:ascii="Times New Roman" w:hAnsi="Times New Roman"/>
          <w:b w:val="false"/>
          <w:bCs w:val="false"/>
          <w:sz w:val="24"/>
          <w:szCs w:val="24"/>
        </w:rPr>
        <w:t>both</w:t>
      </w:r>
      <w:r>
        <w:rPr>
          <w:rFonts w:eastAsia="Times New Roman" w:cs="Times New Roman" w:ascii="Times New Roman" w:hAnsi="Times New Roman"/>
          <w:b w:val="false"/>
          <w:bCs w:val="false"/>
          <w:sz w:val="24"/>
          <w:szCs w:val="24"/>
        </w:rPr>
        <w:t xml:space="preserve"> students who reported high depression and anxiety symptoms and those who did not (Osborn, Venturo-Conerly, et al., 2020; Osborn, Wasil, et al., 2020; Osborn et al., 2021; Rivet-Duval et al., 2011).</w:t>
      </w:r>
    </w:p>
    <w:p>
      <w:pPr>
        <w:pStyle w:val="Normal"/>
        <w:spacing w:lineRule="auto" w:line="360"/>
        <w:jc w:val="both"/>
        <w:rPr>
          <w:rFonts w:ascii="Times New Roman" w:hAnsi="Times New Roman"/>
          <w:sz w:val="24"/>
          <w:szCs w:val="24"/>
        </w:rPr>
      </w:pPr>
      <w:r>
        <w:rPr>
          <w:rFonts w:eastAsia="Times New Roman" w:cs="Times New Roman" w:ascii="Times New Roman" w:hAnsi="Times New Roman"/>
          <w:b w:val="false"/>
          <w:bCs w:val="false"/>
          <w:sz w:val="24"/>
          <w:szCs w:val="24"/>
        </w:rPr>
        <w:t xml:space="preserve">Shamiri was tested in Kenya, based on the idea of "wise interventions", </w:t>
      </w:r>
      <w:r>
        <w:rPr>
          <w:rFonts w:eastAsia="Times New Roman" w:cs="Times New Roman" w:ascii="Times New Roman" w:hAnsi="Times New Roman"/>
          <w:b w:val="false"/>
          <w:bCs w:val="false"/>
          <w:sz w:val="24"/>
          <w:szCs w:val="24"/>
        </w:rPr>
        <w:t>which</w:t>
      </w:r>
      <w:r>
        <w:rPr>
          <w:rFonts w:eastAsia="Times New Roman" w:cs="Times New Roman" w:ascii="Times New Roman" w:hAnsi="Times New Roman"/>
          <w:b w:val="false"/>
          <w:bCs w:val="false"/>
          <w:sz w:val="24"/>
          <w:szCs w:val="24"/>
        </w:rPr>
        <w:t xml:space="preserve"> focus on singular concepts that contribute towards positive mental health rather than teaching complicated systems all at once (Osborn, Venturo-Conerly, et al., 2020; Osborn, Wasil, et al., 2020; Osborn et al., 2021). The intervention taught three concepts over a four week period: (1) </w:t>
      </w:r>
      <w:r>
        <w:rPr>
          <w:rFonts w:eastAsia="Times New Roman" w:cs="Times New Roman" w:ascii="Times New Roman" w:hAnsi="Times New Roman"/>
          <w:b w:val="false"/>
          <w:bCs w:val="false"/>
          <w:sz w:val="24"/>
          <w:szCs w:val="24"/>
        </w:rPr>
        <w:t>A g</w:t>
      </w:r>
      <w:r>
        <w:rPr>
          <w:rFonts w:eastAsia="Times New Roman" w:cs="Times New Roman" w:ascii="Times New Roman" w:hAnsi="Times New Roman"/>
          <w:b w:val="false"/>
          <w:bCs w:val="false"/>
          <w:sz w:val="24"/>
          <w:szCs w:val="24"/>
        </w:rPr>
        <w:t>rowth mind</w:t>
      </w:r>
      <w:r>
        <w:rPr>
          <w:rFonts w:eastAsia="Times New Roman" w:cs="Times New Roman" w:ascii="Times New Roman" w:hAnsi="Times New Roman"/>
          <w:b w:val="false"/>
          <w:bCs w:val="false"/>
          <w:sz w:val="24"/>
          <w:szCs w:val="24"/>
        </w:rPr>
        <w:t>se</w:t>
      </w:r>
      <w:r>
        <w:rPr>
          <w:rFonts w:eastAsia="Times New Roman" w:cs="Times New Roman" w:ascii="Times New Roman" w:hAnsi="Times New Roman"/>
          <w:b w:val="false"/>
          <w:bCs w:val="false"/>
          <w:sz w:val="24"/>
          <w:szCs w:val="24"/>
        </w:rPr>
        <w:t xml:space="preserve">t, (2) gratitude, and (3) </w:t>
      </w:r>
      <w:r>
        <w:rPr>
          <w:rFonts w:eastAsia="Times New Roman" w:cs="Times New Roman" w:ascii="Times New Roman" w:hAnsi="Times New Roman"/>
          <w:b w:val="false"/>
          <w:bCs w:val="false"/>
          <w:sz w:val="24"/>
          <w:szCs w:val="24"/>
        </w:rPr>
        <w:t>positive values</w:t>
      </w:r>
      <w:r>
        <w:rPr>
          <w:rFonts w:eastAsia="Times New Roman" w:cs="Times New Roman" w:ascii="Times New Roman" w:hAnsi="Times New Roman"/>
          <w:b w:val="false"/>
          <w:bCs w:val="false"/>
          <w:sz w:val="24"/>
          <w:szCs w:val="24"/>
        </w:rPr>
        <w:t xml:space="preserve"> (Osborn, Venturo-Conerly, et al., 2020; Osborn et al., 2021). This intervention had significant positive effects on students’ general well-being, and significant reductions in depression and anxiety symptoms (Osborn, Venturo-Conerly, et al., 2020; Osborn et al., 2021).</w:t>
      </w:r>
    </w:p>
    <w:p>
      <w:pPr>
        <w:pStyle w:val="Normal"/>
        <w:spacing w:lineRule="auto" w:line="360"/>
        <w:jc w:val="both"/>
        <w:rPr>
          <w:rFonts w:ascii="Times New Roman" w:hAnsi="Times New Roman"/>
          <w:sz w:val="24"/>
          <w:szCs w:val="24"/>
        </w:rPr>
      </w:pPr>
      <w:r>
        <w:rPr>
          <w:rFonts w:eastAsia="Times New Roman" w:cs="Times New Roman" w:ascii="Times New Roman" w:hAnsi="Times New Roman"/>
          <w:b w:val="false"/>
          <w:bCs w:val="false"/>
          <w:sz w:val="24"/>
          <w:szCs w:val="24"/>
        </w:rPr>
        <w:t>RAP-A was implemented in a multicultural school in Mauritius, and focused on teaching students strategies to bolster their self-esteem, problem solving skills, engaging with support networks, and more, over 11 one-hour sessions (Barry et al., 2013; Rivet-Duval et al., 2011). After a follow-up, it was found that students who participated, whether originally experiencing symptoms of depression or anxie</w:t>
      </w:r>
      <w:r>
        <w:rPr>
          <w:rFonts w:eastAsia="Times New Roman" w:cs="Times New Roman" w:ascii="Times New Roman" w:hAnsi="Times New Roman"/>
          <w:b w:val="false"/>
          <w:bCs w:val="false"/>
          <w:sz w:val="24"/>
          <w:szCs w:val="24"/>
        </w:rPr>
        <w:t>t</w:t>
      </w:r>
      <w:r>
        <w:rPr>
          <w:rFonts w:eastAsia="Times New Roman" w:cs="Times New Roman" w:ascii="Times New Roman" w:hAnsi="Times New Roman"/>
          <w:b w:val="false"/>
          <w:bCs w:val="false"/>
          <w:sz w:val="24"/>
          <w:szCs w:val="24"/>
        </w:rPr>
        <w:t>y or not, reported much greater resilience and general mental health (Rivet-Duval et al., 2011).</w:t>
      </w:r>
    </w:p>
    <w:p>
      <w:pPr>
        <w:pStyle w:val="Normal"/>
        <w:spacing w:lineRule="auto" w:line="360"/>
        <w:jc w:val="both"/>
        <w:rPr>
          <w:rFonts w:eastAsia="Times New Roman" w:cs="Times New Roman"/>
          <w:b w:val="false"/>
          <w:b w:val="false"/>
          <w:bCs w:val="false"/>
        </w:rPr>
      </w:pPr>
      <w:r>
        <w:rPr>
          <w:rFonts w:eastAsia="Times New Roman" w:cs="Times New Roman" w:ascii="Times New Roman" w:hAnsi="Times New Roman"/>
          <w:b w:val="false"/>
          <w:bCs w:val="false"/>
          <w:sz w:val="24"/>
          <w:szCs w:val="24"/>
        </w:rPr>
        <w:t xml:space="preserve">Both programmes were able to make a positive impact on the students’ lives, and were able to navigate the significant challenges they face. Because they were generalized, both programmes circumvented the stigma </w:t>
      </w:r>
      <w:r>
        <w:rPr>
          <w:rFonts w:eastAsia="Times New Roman" w:cs="Times New Roman" w:ascii="Times New Roman" w:hAnsi="Times New Roman"/>
          <w:b w:val="false"/>
          <w:bCs w:val="false"/>
          <w:sz w:val="24"/>
          <w:szCs w:val="24"/>
        </w:rPr>
        <w:t>surrounding alternatives</w:t>
      </w:r>
      <w:r>
        <w:rPr>
          <w:rFonts w:eastAsia="Times New Roman" w:cs="Times New Roman" w:ascii="Times New Roman" w:hAnsi="Times New Roman"/>
          <w:b w:val="false"/>
          <w:bCs w:val="false"/>
          <w:sz w:val="24"/>
          <w:szCs w:val="24"/>
        </w:rPr>
        <w:t>. Because they were in school, they were easily accessible. Because they were facilitated by only a few teachers, they were financially and logistically feasible (Osborn, Venturo-Conerly, et al., 2020; Osborn et al., 2021; Rivet-Duval et al., 2011).</w:t>
      </w:r>
      <w:r>
        <w:rPr>
          <w:rFonts w:eastAsia="Times New Roman" w:cs="Times New Roman" w:ascii="Times New Roman" w:hAnsi="Times New Roman"/>
          <w:b w:val="false"/>
          <w:bCs w:val="false"/>
          <w:sz w:val="24"/>
          <w:szCs w:val="24"/>
        </w:rPr>
        <w:t xml:space="preserve"> These programs are a promising answer to the unique challenges facing mental healthcare in South Africa. More work must be done to prove scale these programs up, but they have shown significant positive results already.</w:t>
      </w:r>
      <w:r>
        <w:br w:type="page"/>
      </w:r>
    </w:p>
    <w:p>
      <w:pPr>
        <w:pStyle w:val="Normal"/>
        <w:widowControl/>
        <w:suppressAutoHyphens w:val="true"/>
        <w:bidi w:val="0"/>
        <w:spacing w:lineRule="auto" w:line="360" w:before="0" w:after="0"/>
        <w:ind w:left="809" w:right="0" w:hanging="809"/>
        <w:jc w:val="left"/>
        <w:rPr>
          <w:rFonts w:ascii="Times New Roman" w:hAnsi="Times New Roman"/>
          <w:b/>
          <w:b/>
          <w:bCs/>
          <w:sz w:val="32"/>
          <w:szCs w:val="32"/>
        </w:rPr>
      </w:pPr>
      <w:r>
        <w:rPr>
          <w:rFonts w:eastAsia="Times New Roman" w:cs="Times New Roman" w:ascii="Times New Roman" w:hAnsi="Times New Roman"/>
          <w:b/>
          <w:bCs/>
          <w:sz w:val="32"/>
          <w:szCs w:val="32"/>
        </w:rPr>
        <w:t>References</w:t>
      </w:r>
    </w:p>
    <w:p>
      <w:pPr>
        <w:pStyle w:val="Normal"/>
        <w:widowControl/>
        <w:suppressAutoHyphens w:val="true"/>
        <w:bidi w:val="0"/>
        <w:spacing w:lineRule="auto" w:line="360" w:before="0" w:after="0"/>
        <w:ind w:left="809" w:right="0" w:hanging="809"/>
        <w:jc w:val="left"/>
        <w:rPr/>
      </w:pPr>
      <w:r>
        <w:rPr>
          <w:rFonts w:eastAsia="Times New Roman" w:cs="Times New Roman" w:ascii="Times New Roman" w:hAnsi="Times New Roman"/>
          <w:b w:val="false"/>
          <w:bCs w:val="false"/>
          <w:sz w:val="24"/>
          <w:szCs w:val="24"/>
        </w:rPr>
        <w:t xml:space="preserve">Barry, M., Clarke, A., Jenkins, R., &amp; Patel, V. (2013). A systematic review of the effectiveness of mental health promotion interventions for young people in low and middle income countries. </w:t>
      </w:r>
      <w:r>
        <w:rPr>
          <w:rFonts w:eastAsia="Times New Roman" w:cs="Times New Roman" w:ascii="Times New Roman" w:hAnsi="Times New Roman"/>
          <w:b w:val="false"/>
          <w:bCs w:val="false"/>
          <w:i/>
          <w:iCs/>
          <w:sz w:val="24"/>
          <w:szCs w:val="24"/>
        </w:rPr>
        <w:t>BMC Public Health, 13</w:t>
      </w:r>
      <w:r>
        <w:rPr>
          <w:rFonts w:eastAsia="Times New Roman" w:cs="Times New Roman" w:ascii="Times New Roman" w:hAnsi="Times New Roman"/>
          <w:b w:val="false"/>
          <w:bCs w:val="false"/>
          <w:sz w:val="24"/>
          <w:szCs w:val="24"/>
        </w:rPr>
        <w:t xml:space="preserve">(835). </w:t>
      </w:r>
      <w:hyperlink r:id="rId3">
        <w:r>
          <w:rPr>
            <w:rStyle w:val="InternetLink"/>
            <w:rFonts w:eastAsia="Times New Roman" w:cs="Times New Roman" w:ascii="Times New Roman" w:hAnsi="Times New Roman"/>
            <w:b w:val="false"/>
            <w:bCs w:val="false"/>
            <w:sz w:val="24"/>
            <w:szCs w:val="24"/>
          </w:rPr>
          <w:t>https://www.biomedcentral.com/1471-2458/13/835</w:t>
        </w:r>
      </w:hyperlink>
    </w:p>
    <w:p>
      <w:pPr>
        <w:pStyle w:val="Normal"/>
        <w:widowControl/>
        <w:suppressAutoHyphens w:val="true"/>
        <w:bidi w:val="0"/>
        <w:spacing w:lineRule="auto" w:line="360" w:before="0" w:after="0"/>
        <w:ind w:left="809" w:right="0" w:hanging="809"/>
        <w:jc w:val="left"/>
        <w:rPr>
          <w:rFonts w:ascii="Times New Roman" w:hAnsi="Times New Roman"/>
        </w:rPr>
      </w:pPr>
      <w:r>
        <w:rPr>
          <w:rFonts w:eastAsia="Times New Roman" w:cs="Times New Roman" w:ascii="Times New Roman" w:hAnsi="Times New Roman"/>
          <w:b w:val="false"/>
          <w:bCs w:val="false"/>
          <w:sz w:val="24"/>
          <w:szCs w:val="24"/>
        </w:rPr>
        <w:t xml:space="preserve">Docrat, S., Besada, D., Cleary, S., Daviaud, E., &amp; Lund, C. (2019). Mental health system costs, resources and constraints in south africa: A national survey. </w:t>
      </w:r>
      <w:r>
        <w:rPr>
          <w:rFonts w:eastAsia="Times New Roman" w:cs="Times New Roman" w:ascii="Times New Roman" w:hAnsi="Times New Roman"/>
          <w:b w:val="false"/>
          <w:bCs w:val="false"/>
          <w:i/>
          <w:iCs/>
          <w:sz w:val="24"/>
          <w:szCs w:val="24"/>
        </w:rPr>
        <w:t>Health Policy and Planning, 34,</w:t>
      </w:r>
      <w:r>
        <w:rPr>
          <w:rFonts w:eastAsia="Times New Roman" w:cs="Times New Roman" w:ascii="Times New Roman" w:hAnsi="Times New Roman"/>
          <w:b w:val="false"/>
          <w:bCs w:val="false"/>
          <w:sz w:val="24"/>
          <w:szCs w:val="24"/>
        </w:rPr>
        <w:t xml:space="preserve"> 706–719. </w:t>
      </w:r>
      <w:hyperlink r:id="rId4">
        <w:r>
          <w:rPr>
            <w:rStyle w:val="InternetLink"/>
            <w:rFonts w:eastAsia="Times New Roman" w:cs="Times New Roman" w:ascii="Times New Roman" w:hAnsi="Times New Roman"/>
            <w:b w:val="false"/>
            <w:bCs w:val="false"/>
            <w:sz w:val="24"/>
            <w:szCs w:val="24"/>
          </w:rPr>
          <w:t>https://doi.org/10.1093/heapol/czz085</w:t>
        </w:r>
      </w:hyperlink>
    </w:p>
    <w:p>
      <w:pPr>
        <w:pStyle w:val="Normal"/>
        <w:widowControl/>
        <w:suppressAutoHyphens w:val="true"/>
        <w:bidi w:val="0"/>
        <w:spacing w:lineRule="auto" w:line="360" w:before="0" w:after="0"/>
        <w:ind w:left="809" w:right="0" w:hanging="809"/>
        <w:jc w:val="left"/>
        <w:rPr>
          <w:rFonts w:ascii="Times New Roman" w:hAnsi="Times New Roman"/>
        </w:rPr>
      </w:pPr>
      <w:r>
        <w:rPr>
          <w:rFonts w:eastAsia="Times New Roman" w:cs="Times New Roman" w:ascii="Times New Roman" w:hAnsi="Times New Roman"/>
          <w:b w:val="false"/>
          <w:bCs w:val="false"/>
          <w:sz w:val="24"/>
          <w:szCs w:val="24"/>
        </w:rPr>
        <w:t xml:space="preserve">O’Reilly, M., Svirydzenka, N., Adams, S., &amp; Dogra, N. (2018). Review of mental health promotion interventions in schools. </w:t>
      </w:r>
      <w:r>
        <w:rPr>
          <w:rFonts w:eastAsia="Times New Roman" w:cs="Times New Roman" w:ascii="Times New Roman" w:hAnsi="Times New Roman"/>
          <w:b w:val="false"/>
          <w:bCs w:val="false"/>
          <w:i/>
          <w:iCs/>
          <w:sz w:val="24"/>
          <w:szCs w:val="24"/>
        </w:rPr>
        <w:t>Social Psychiatry and Psychiatric Epidemiology, 53,</w:t>
      </w:r>
      <w:r>
        <w:rPr>
          <w:rFonts w:eastAsia="Times New Roman" w:cs="Times New Roman" w:ascii="Times New Roman" w:hAnsi="Times New Roman"/>
          <w:b w:val="false"/>
          <w:bCs w:val="false"/>
          <w:sz w:val="24"/>
          <w:szCs w:val="24"/>
        </w:rPr>
        <w:t xml:space="preserve"> 647–662. </w:t>
      </w:r>
      <w:hyperlink r:id="rId5">
        <w:r>
          <w:rPr>
            <w:rStyle w:val="InternetLink"/>
            <w:rFonts w:eastAsia="Times New Roman" w:cs="Times New Roman" w:ascii="Times New Roman" w:hAnsi="Times New Roman"/>
            <w:b w:val="false"/>
            <w:bCs w:val="false"/>
            <w:sz w:val="24"/>
            <w:szCs w:val="24"/>
          </w:rPr>
          <w:t>https://doi.org/10.1007/s00127-018-1530-1</w:t>
        </w:r>
      </w:hyperlink>
    </w:p>
    <w:p>
      <w:pPr>
        <w:pStyle w:val="Normal"/>
        <w:widowControl/>
        <w:suppressAutoHyphens w:val="true"/>
        <w:bidi w:val="0"/>
        <w:spacing w:lineRule="auto" w:line="360" w:before="0" w:after="0"/>
        <w:ind w:left="809" w:right="0" w:hanging="809"/>
        <w:jc w:val="left"/>
        <w:rPr>
          <w:rFonts w:ascii="Times New Roman" w:hAnsi="Times New Roman"/>
        </w:rPr>
      </w:pPr>
      <w:r>
        <w:rPr>
          <w:rFonts w:eastAsia="Times New Roman" w:cs="Times New Roman" w:ascii="Times New Roman" w:hAnsi="Times New Roman"/>
          <w:b w:val="false"/>
          <w:bCs w:val="false"/>
          <w:sz w:val="24"/>
          <w:szCs w:val="24"/>
        </w:rPr>
        <w:t xml:space="preserve">Osborn, T., Venturo-Conerly, K., G., S., Roe, E., Rodriguez, M., Alemu, R., Gan, J., Wasil, A., Otieno, B., Rusch, T., Ndetei, D., Wasanga, C., Schleider, J., &amp; Weisz, J. (2021). Effect of shamiri layperson-provided intervention vs study skills control intervention for depression and anxiety symptoms in adolescents in kenya: A randomized clinical trial. </w:t>
      </w:r>
      <w:r>
        <w:rPr>
          <w:rFonts w:eastAsia="Times New Roman" w:cs="Times New Roman" w:ascii="Times New Roman" w:hAnsi="Times New Roman"/>
          <w:b w:val="false"/>
          <w:bCs w:val="false"/>
          <w:i/>
          <w:iCs/>
          <w:sz w:val="24"/>
          <w:szCs w:val="24"/>
        </w:rPr>
        <w:t>JAMA Psychiatry, 78</w:t>
      </w:r>
      <w:r>
        <w:rPr>
          <w:rFonts w:eastAsia="Times New Roman" w:cs="Times New Roman" w:ascii="Times New Roman" w:hAnsi="Times New Roman"/>
          <w:b w:val="false"/>
          <w:bCs w:val="false"/>
          <w:sz w:val="24"/>
          <w:szCs w:val="24"/>
        </w:rPr>
        <w:t xml:space="preserve">(8), 829–837. </w:t>
      </w:r>
      <w:hyperlink r:id="rId6">
        <w:r>
          <w:rPr>
            <w:rStyle w:val="InternetLink"/>
            <w:rFonts w:eastAsia="Times New Roman" w:cs="Times New Roman" w:ascii="Times New Roman" w:hAnsi="Times New Roman"/>
            <w:b w:val="false"/>
            <w:bCs w:val="false"/>
            <w:sz w:val="24"/>
            <w:szCs w:val="24"/>
          </w:rPr>
          <w:t>https://doi.org/10.1001/jamapsychiatry.2021.1129</w:t>
        </w:r>
      </w:hyperlink>
    </w:p>
    <w:p>
      <w:pPr>
        <w:pStyle w:val="Normal"/>
        <w:widowControl/>
        <w:suppressAutoHyphens w:val="true"/>
        <w:bidi w:val="0"/>
        <w:spacing w:lineRule="auto" w:line="360" w:before="0" w:after="0"/>
        <w:ind w:left="809" w:right="0" w:hanging="809"/>
        <w:jc w:val="left"/>
        <w:rPr>
          <w:rFonts w:ascii="Times New Roman" w:hAnsi="Times New Roman"/>
        </w:rPr>
      </w:pPr>
      <w:r>
        <w:rPr>
          <w:rFonts w:eastAsia="Times New Roman" w:cs="Times New Roman" w:ascii="Times New Roman" w:hAnsi="Times New Roman"/>
          <w:b w:val="false"/>
          <w:bCs w:val="false"/>
          <w:sz w:val="24"/>
          <w:szCs w:val="24"/>
        </w:rPr>
        <w:t xml:space="preserve">Osborn, T., Venturo-Conerly, K., Wasil, A., Rodriguez, M., Roe, E., Alemu, R., G., S., Gan, J., Wasanga, C., Schleider, J., &amp; Weisz, J. (2020). The shamiri group intervention for adolescent anxiety and depression: Study protocol for a randomized controlled trial of a lay-provider-delivered, school-based intervention in kenya. </w:t>
      </w:r>
      <w:r>
        <w:rPr>
          <w:rFonts w:eastAsia="Times New Roman" w:cs="Times New Roman" w:ascii="Times New Roman" w:hAnsi="Times New Roman"/>
          <w:b w:val="false"/>
          <w:bCs w:val="false"/>
          <w:i/>
          <w:iCs/>
          <w:sz w:val="24"/>
          <w:szCs w:val="24"/>
        </w:rPr>
        <w:t>Trials, 21</w:t>
      </w:r>
      <w:r>
        <w:rPr>
          <w:rFonts w:eastAsia="Times New Roman" w:cs="Times New Roman" w:ascii="Times New Roman" w:hAnsi="Times New Roman"/>
          <w:b w:val="false"/>
          <w:bCs w:val="false"/>
          <w:sz w:val="24"/>
          <w:szCs w:val="24"/>
        </w:rPr>
        <w:t xml:space="preserve">(938). </w:t>
      </w:r>
      <w:hyperlink r:id="rId7">
        <w:r>
          <w:rPr>
            <w:rStyle w:val="InternetLink"/>
            <w:rFonts w:eastAsia="Times New Roman" w:cs="Times New Roman" w:ascii="Times New Roman" w:hAnsi="Times New Roman"/>
            <w:b w:val="false"/>
            <w:bCs w:val="false"/>
            <w:sz w:val="24"/>
            <w:szCs w:val="24"/>
          </w:rPr>
          <w:t>https://doi.org/10.1186/s13063-020-04732-1</w:t>
        </w:r>
      </w:hyperlink>
    </w:p>
    <w:p>
      <w:pPr>
        <w:pStyle w:val="Normal"/>
        <w:widowControl/>
        <w:suppressAutoHyphens w:val="true"/>
        <w:bidi w:val="0"/>
        <w:spacing w:lineRule="auto" w:line="360" w:before="0" w:after="0"/>
        <w:ind w:left="809" w:right="0" w:hanging="809"/>
        <w:jc w:val="left"/>
        <w:rPr>
          <w:rFonts w:ascii="Times New Roman" w:hAnsi="Times New Roman"/>
        </w:rPr>
      </w:pPr>
      <w:r>
        <w:rPr>
          <w:rFonts w:eastAsia="Times New Roman" w:cs="Times New Roman" w:ascii="Times New Roman" w:hAnsi="Times New Roman"/>
          <w:b w:val="false"/>
          <w:bCs w:val="false"/>
          <w:sz w:val="24"/>
          <w:szCs w:val="24"/>
        </w:rPr>
        <w:t xml:space="preserve">Osborn, T., Wasil, A., Gan, J., Alemu, R., Roe, E., G., S., Wasanga, C., Rodriguez, M., VenturoConerly, K., Otieno, B., Shingleton, R., &amp; Weisz, J. (2020). Single-session digital intervention for adolescent depression, anxiety, and well-being: Outcomes of a randomized controlled trial with kenyan adolescents. </w:t>
      </w:r>
      <w:r>
        <w:rPr>
          <w:rFonts w:eastAsia="Times New Roman" w:cs="Times New Roman" w:ascii="Times New Roman" w:hAnsi="Times New Roman"/>
          <w:b w:val="false"/>
          <w:bCs w:val="false"/>
          <w:i/>
          <w:iCs/>
          <w:sz w:val="24"/>
          <w:szCs w:val="24"/>
        </w:rPr>
        <w:t>Journal of Consulting and Clinical Psychology, 88</w:t>
      </w:r>
      <w:r>
        <w:rPr>
          <w:rFonts w:eastAsia="Times New Roman" w:cs="Times New Roman" w:ascii="Times New Roman" w:hAnsi="Times New Roman"/>
          <w:b w:val="false"/>
          <w:bCs w:val="false"/>
          <w:sz w:val="24"/>
          <w:szCs w:val="24"/>
        </w:rPr>
        <w:t xml:space="preserve">(7), 657–668. </w:t>
      </w:r>
      <w:hyperlink r:id="rId8">
        <w:r>
          <w:rPr>
            <w:rStyle w:val="InternetLink"/>
            <w:rFonts w:eastAsia="Times New Roman" w:cs="Times New Roman" w:ascii="Times New Roman" w:hAnsi="Times New Roman"/>
            <w:b w:val="false"/>
            <w:bCs w:val="false"/>
            <w:sz w:val="24"/>
            <w:szCs w:val="24"/>
          </w:rPr>
          <w:t>https://doi.org/10.1037/ccp0000505</w:t>
        </w:r>
      </w:hyperlink>
    </w:p>
    <w:p>
      <w:pPr>
        <w:pStyle w:val="Normal"/>
        <w:widowControl/>
        <w:suppressAutoHyphens w:val="true"/>
        <w:bidi w:val="0"/>
        <w:spacing w:lineRule="auto" w:line="360" w:before="0" w:after="0"/>
        <w:ind w:left="809" w:right="0" w:hanging="809"/>
        <w:jc w:val="left"/>
        <w:rPr>
          <w:rFonts w:ascii="Times New Roman" w:hAnsi="Times New Roman"/>
        </w:rPr>
      </w:pPr>
      <w:r>
        <w:rPr>
          <w:rFonts w:eastAsia="Times New Roman" w:cs="Times New Roman" w:ascii="Times New Roman" w:hAnsi="Times New Roman"/>
          <w:b w:val="false"/>
          <w:bCs w:val="false"/>
          <w:sz w:val="24"/>
          <w:szCs w:val="24"/>
        </w:rPr>
        <w:t xml:space="preserve">Rivet-Duval, E., Heriot, S., &amp; Hunt, C. (2011). Preventing adolescent depression in mauritius: A universal school-based program. </w:t>
      </w:r>
      <w:r>
        <w:rPr>
          <w:rFonts w:eastAsia="Times New Roman" w:cs="Times New Roman" w:ascii="Times New Roman" w:hAnsi="Times New Roman"/>
          <w:b w:val="false"/>
          <w:bCs w:val="false"/>
          <w:i/>
          <w:iCs/>
          <w:sz w:val="24"/>
          <w:szCs w:val="24"/>
        </w:rPr>
        <w:t>Child and Adolescent Mental Health, 16</w:t>
      </w:r>
      <w:r>
        <w:rPr>
          <w:rFonts w:eastAsia="Times New Roman" w:cs="Times New Roman" w:ascii="Times New Roman" w:hAnsi="Times New Roman"/>
          <w:b w:val="false"/>
          <w:bCs w:val="false"/>
          <w:sz w:val="24"/>
          <w:szCs w:val="24"/>
        </w:rPr>
        <w:t xml:space="preserve">(2), 86–91. </w:t>
      </w:r>
      <w:hyperlink r:id="rId9">
        <w:r>
          <w:rPr>
            <w:rStyle w:val="InternetLink"/>
            <w:rFonts w:eastAsia="Times New Roman" w:cs="Times New Roman" w:ascii="Times New Roman" w:hAnsi="Times New Roman"/>
            <w:b w:val="false"/>
            <w:bCs w:val="false"/>
            <w:sz w:val="24"/>
            <w:szCs w:val="24"/>
          </w:rPr>
          <w:t>https://doi.org/10.1111/j.1475-3588.2010.00584.x</w:t>
        </w:r>
      </w:hyperlink>
    </w:p>
    <w:sectPr>
      <w:type w:val="nextPage"/>
      <w:pgSz w:w="11906" w:h="16838"/>
      <w:pgMar w:left="1440" w:right="1440" w:gutter="0" w:header="0" w:top="720" w:footer="0" w:bottom="72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CGTimes">
    <w:charset w:val="01"/>
    <w:family w:val="roman"/>
    <w:pitch w:val="variable"/>
  </w:font>
  <w:font w:name="CG Times">
    <w:charset w:val="01"/>
    <w:family w:val="roman"/>
    <w:pitch w:val="variable"/>
  </w:font>
  <w:font w:name="DejaVu Sans">
    <w:charset w:val="01"/>
    <w:family w:val="roman"/>
    <w:pitch w:val="variable"/>
  </w:font>
  <w:font w:name="Times New Roman">
    <w:charset w:val="01"/>
    <w:family w:val="roman"/>
    <w:pitch w:val="default"/>
  </w:font>
  <w:font w:name="Tahoma">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7486"/>
    <w:pPr>
      <w:widowControl/>
      <w:suppressAutoHyphens w:val="true"/>
      <w:bidi w:val="0"/>
      <w:spacing w:before="0" w:after="0"/>
      <w:jc w:val="left"/>
    </w:pPr>
    <w:rPr>
      <w:rFonts w:ascii="CGTimes" w:hAnsi="CGTimes" w:eastAsia="Times New Roman" w:cs="Times New Roman"/>
      <w:color w:val="auto"/>
      <w:kern w:val="0"/>
      <w:sz w:val="24"/>
      <w:szCs w:val="20"/>
      <w:lang w:val="en-GB" w:eastAsia="en-US" w:bidi="ar-SA"/>
    </w:rPr>
  </w:style>
  <w:style w:type="character" w:styleId="DefaultParagraphFont" w:default="1">
    <w:name w:val="Default Paragraph Font"/>
    <w:uiPriority w:val="1"/>
    <w:semiHidden/>
    <w:unhideWhenUsed/>
    <w:qFormat/>
    <w:rPr/>
  </w:style>
  <w:style w:type="character" w:styleId="BodyTextIndent2Char" w:customStyle="1">
    <w:name w:val="Body Text Indent 2 Char"/>
    <w:link w:val="BodyTextIndent2"/>
    <w:qFormat/>
    <w:rsid w:val="00fd7486"/>
    <w:rPr>
      <w:rFonts w:ascii="CG Times" w:hAnsi="CG Times" w:eastAsia="Times New Roman" w:cs="Times New Roman"/>
      <w:sz w:val="24"/>
      <w:szCs w:val="20"/>
      <w:lang w:val="en-GB"/>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DejaVu Sans" w:hAnsi="DejaVu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BodyTextIndent2">
    <w:name w:val="Body Text Indent 2"/>
    <w:basedOn w:val="Normal"/>
    <w:link w:val="BodyTextIndent2Char"/>
    <w:qFormat/>
    <w:rsid w:val="00fd7486"/>
    <w:pPr>
      <w:ind w:left="709" w:hanging="709"/>
      <w:jc w:val="both"/>
    </w:pPr>
    <w:rPr>
      <w:rFonts w:ascii="CG Times" w:hAnsi="CG Times"/>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omedcentral.com/1471-2458/13/835" TargetMode="External"/><Relationship Id="rId3" Type="http://schemas.openxmlformats.org/officeDocument/2006/relationships/hyperlink" Target="" TargetMode="External"/><Relationship Id="rId4" Type="http://schemas.openxmlformats.org/officeDocument/2006/relationships/hyperlink" Target="https://doi.org/10.1093/heapol/czz085" TargetMode="External"/><Relationship Id="rId5" Type="http://schemas.openxmlformats.org/officeDocument/2006/relationships/hyperlink" Target="https://doi.org/10.1007/s00127-018-1530-1" TargetMode="External"/><Relationship Id="rId6" Type="http://schemas.openxmlformats.org/officeDocument/2006/relationships/hyperlink" Target="https://doi.org/10.1001/jamapsychiatry.2021.1129" TargetMode="External"/><Relationship Id="rId7" Type="http://schemas.openxmlformats.org/officeDocument/2006/relationships/hyperlink" Target="https://doi.org/10.1186/s13063-020-04732-1" TargetMode="External"/><Relationship Id="rId8" Type="http://schemas.openxmlformats.org/officeDocument/2006/relationships/hyperlink" Target="https://doi.org/10.1037/ccp0000505" TargetMode="External"/><Relationship Id="rId9" Type="http://schemas.openxmlformats.org/officeDocument/2006/relationships/hyperlink" Target="https://doi.org/10.1111/j.1475-3588.2010.00584.x"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LibreOffice/7.3.3.2$Linux_X86_64 LibreOffice_project/30$Build-2</Application>
  <AppVersion>15.0000</AppVersion>
  <Pages>6</Pages>
  <Words>1302</Words>
  <Characters>7587</Characters>
  <CharactersWithSpaces>8855</CharactersWithSpaces>
  <Paragraphs>29</Paragraphs>
  <Company>University of Cape Town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2022-08-11T20:04:00Z</dcterms:created>
  <dc:creator>user1</dc:creator>
  <dc:description/>
  <dc:language>en-ZA</dc:language>
  <cp:lastModifiedBy/>
  <dcterms:modified xsi:type="dcterms:W3CDTF">2022-08-14T17:36:01Z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