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FOOD DELIVERY OPERATIONS</w:t>
        <w:br/>
        <w:t>&amp; DELIVERY TIME ANALYTICS</w:t>
      </w:r>
    </w:p>
    <w:p>
      <w:pPr>
        <w:jc w:val="center"/>
      </w:pPr>
      <w:r>
        <w:rPr>
          <w:b/>
          <w:sz w:val="32"/>
        </w:rPr>
        <w:t>Data Analytics Project Report</w:t>
      </w:r>
    </w:p>
    <w:p>
      <w:pPr>
        <w:pStyle w:val="SubtitleCustom"/>
        <w:jc w:val="center"/>
      </w:pPr>
      <w:r>
        <w:t>Descriptive • Diagnostic • Predictive • Prescriptive Analytics</w:t>
      </w:r>
    </w:p>
    <w:p/>
    <w:p>
      <w:pPr>
        <w:jc w:val="center"/>
      </w:pPr>
      <w:r>
        <w:rPr>
          <w:sz w:val="24"/>
        </w:rPr>
        <w:t>Dataset: Food Delivery Logistics Dataset</w:t>
        <w:br/>
        <w:t>Observations analyzed: 45,593</w:t>
      </w:r>
    </w:p>
    <w:p>
      <w:r>
        <w:br w:type="page"/>
      </w:r>
    </w:p>
    <w:p>
      <w:pPr>
        <w:pStyle w:val="Heading1"/>
      </w:pPr>
      <w:r>
        <w:t>1. Executive Summary</w:t>
      </w:r>
    </w:p>
    <w:p>
      <w:r>
        <w:t>This project analyzes food-delivery logistics data to understand observed delivery-time patterns and operational factors associated with delivery duration. The supplied analysis covers five major exploratory and diagnostic visualizations: overall delivery-time distribution, traffic versus delivery time, weather versus delivery time, geographic distance versus delivery time, and time/day operating patterns.</w:t>
      </w:r>
    </w:p>
    <w:p>
      <w:r>
        <w:t>Across 45,593 observations, the median delivery time is 26 minutes and the mean is 26.29 minutes. Observed delivery times range from 10 to 54 minutes. Traffic density shows a clear empirical association with delivery duration, with the Jam category averaging 31.18 minutes compared with 21.27 minutes under Low traffic. Weather categories also differ, with Sunny conditions averaging 21.86 minutes and Foggy/Cloudy conditions averaging 28.92 minutes. Estimated straight-line delivery distance has a positive but moderate association with delivery duration (Pearson r = 0.3074).</w:t>
      </w:r>
    </w:p>
    <w:p>
      <w:r>
        <w:t>The strongest temporal pattern in the supplied analysis occurs during the evening period from 17:00–21:00, when order volumes are highest and observed average delivery times are also elevated. By contrast, the weekday/weekend difference is only 0.06 minutes in the reported means, indicating little difference in overall delivery duration between those two calendar cohorts in this dataset.</w:t>
      </w:r>
    </w:p>
    <w:p>
      <w:pPr>
        <w:pStyle w:val="Heading1"/>
      </w:pPr>
      <w:r>
        <w:t>2. Project Objectives</w:t>
      </w:r>
    </w:p>
    <w:p>
      <w:pPr>
        <w:pStyle w:val="ListBullet"/>
      </w:pPr>
      <w:r>
        <w:t>Measure the central tendency and variability of food-delivery time.</w:t>
      </w:r>
    </w:p>
    <w:p>
      <w:pPr>
        <w:pStyle w:val="ListBullet"/>
      </w:pPr>
      <w:r>
        <w:t>Compare delivery performance across traffic-density categories.</w:t>
      </w:r>
    </w:p>
    <w:p>
      <w:pPr>
        <w:pStyle w:val="ListBullet"/>
      </w:pPr>
      <w:r>
        <w:t>Compare delivery performance across weather conditions.</w:t>
      </w:r>
    </w:p>
    <w:p>
      <w:pPr>
        <w:pStyle w:val="ListBullet"/>
      </w:pPr>
      <w:r>
        <w:t>Quantify the relationship between estimated delivery distance and delivery time.</w:t>
      </w:r>
    </w:p>
    <w:p>
      <w:pPr>
        <w:pStyle w:val="ListBullet"/>
      </w:pPr>
      <w:r>
        <w:t>Identify time-of-day, day-of-week, and weekend/weekday patterns.</w:t>
      </w:r>
    </w:p>
    <w:p>
      <w:pPr>
        <w:pStyle w:val="ListBullet"/>
      </w:pPr>
      <w:r>
        <w:t>Separate observed associations from unsupported causal conclusions.</w:t>
      </w:r>
    </w:p>
    <w:p>
      <w:pPr>
        <w:pStyle w:val="ListBullet"/>
      </w:pPr>
      <w:r>
        <w:t>Provide an analytical foundation for operational risk prediction and intervention.</w:t>
      </w:r>
    </w:p>
    <w:p>
      <w:pPr>
        <w:pStyle w:val="Heading1"/>
      </w:pPr>
      <w:r>
        <w:t>3. Dataset Overview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Attribute</w:t>
            </w:r>
          </w:p>
        </w:tc>
        <w:tc>
          <w:tcPr>
            <w:tcW w:type="dxa" w:w="4968"/>
            <w:vAlign w:val="center"/>
            <w:shd w:fill="D9EAF7"/>
          </w:tcPr>
          <w:p>
            <w:r/>
            <w:r>
              <w:rPr>
                <w:b/>
                <w:sz w:val="18"/>
              </w:rPr>
              <w:t>Value</w:t>
            </w:r>
          </w:p>
        </w:tc>
      </w:tr>
      <w:tr>
        <w:tc>
          <w:tcPr>
            <w:tcW w:type="dxa" w:w="4968"/>
            <w:vAlign w:val="center"/>
          </w:tcPr>
          <w:p>
            <w:r/>
            <w:r>
              <w:rPr>
                <w:b w:val="0"/>
                <w:sz w:val="18"/>
              </w:rPr>
              <w:t>Dataset domain</w:t>
            </w:r>
          </w:p>
        </w:tc>
        <w:tc>
          <w:tcPr>
            <w:tcW w:type="dxa" w:w="4968"/>
            <w:vAlign w:val="center"/>
          </w:tcPr>
          <w:p>
            <w:r/>
            <w:r>
              <w:rPr>
                <w:b w:val="0"/>
                <w:sz w:val="18"/>
              </w:rPr>
              <w:t>Food delivery logistics</w:t>
            </w:r>
          </w:p>
        </w:tc>
      </w:tr>
      <w:tr>
        <w:tc>
          <w:tcPr>
            <w:tcW w:type="dxa" w:w="4968"/>
            <w:vAlign w:val="center"/>
          </w:tcPr>
          <w:p>
            <w:r/>
            <w:r>
              <w:rPr>
                <w:b w:val="0"/>
                <w:sz w:val="18"/>
              </w:rPr>
              <w:t>Observations analyzed</w:t>
            </w:r>
          </w:p>
        </w:tc>
        <w:tc>
          <w:tcPr>
            <w:tcW w:type="dxa" w:w="4968"/>
            <w:vAlign w:val="center"/>
          </w:tcPr>
          <w:p>
            <w:r/>
            <w:r>
              <w:rPr>
                <w:b w:val="0"/>
                <w:sz w:val="18"/>
              </w:rPr>
              <w:t>45,593</w:t>
            </w:r>
          </w:p>
        </w:tc>
      </w:tr>
      <w:tr>
        <w:tc>
          <w:tcPr>
            <w:tcW w:type="dxa" w:w="4968"/>
            <w:vAlign w:val="center"/>
          </w:tcPr>
          <w:p>
            <w:r/>
            <w:r>
              <w:rPr>
                <w:b w:val="0"/>
                <w:sz w:val="18"/>
              </w:rPr>
              <w:t>Primary outcome analyzed</w:t>
            </w:r>
          </w:p>
        </w:tc>
        <w:tc>
          <w:tcPr>
            <w:tcW w:type="dxa" w:w="4968"/>
            <w:vAlign w:val="center"/>
          </w:tcPr>
          <w:p>
            <w:r/>
            <w:r>
              <w:rPr>
                <w:b w:val="0"/>
                <w:sz w:val="18"/>
              </w:rPr>
              <w:t>Time_taken(min)</w:t>
            </w:r>
          </w:p>
        </w:tc>
      </w:tr>
      <w:tr>
        <w:tc>
          <w:tcPr>
            <w:tcW w:type="dxa" w:w="4968"/>
            <w:vAlign w:val="center"/>
          </w:tcPr>
          <w:p>
            <w:r/>
            <w:r>
              <w:rPr>
                <w:b w:val="0"/>
                <w:sz w:val="18"/>
              </w:rPr>
              <w:t>Traffic variable</w:t>
            </w:r>
          </w:p>
        </w:tc>
        <w:tc>
          <w:tcPr>
            <w:tcW w:type="dxa" w:w="4968"/>
            <w:vAlign w:val="center"/>
          </w:tcPr>
          <w:p>
            <w:r/>
            <w:r>
              <w:rPr>
                <w:b w:val="0"/>
                <w:sz w:val="18"/>
              </w:rPr>
              <w:t>Road_traffic_density</w:t>
            </w:r>
          </w:p>
        </w:tc>
      </w:tr>
      <w:tr>
        <w:tc>
          <w:tcPr>
            <w:tcW w:type="dxa" w:w="4968"/>
            <w:vAlign w:val="center"/>
          </w:tcPr>
          <w:p>
            <w:r/>
            <w:r>
              <w:rPr>
                <w:b w:val="0"/>
                <w:sz w:val="18"/>
              </w:rPr>
              <w:t>Weather variable</w:t>
            </w:r>
          </w:p>
        </w:tc>
        <w:tc>
          <w:tcPr>
            <w:tcW w:type="dxa" w:w="4968"/>
            <w:vAlign w:val="center"/>
          </w:tcPr>
          <w:p>
            <w:r/>
            <w:r>
              <w:rPr>
                <w:b w:val="0"/>
                <w:sz w:val="18"/>
              </w:rPr>
              <w:t>Weatherconditions</w:t>
            </w:r>
          </w:p>
        </w:tc>
      </w:tr>
      <w:tr>
        <w:tc>
          <w:tcPr>
            <w:tcW w:type="dxa" w:w="4968"/>
            <w:vAlign w:val="center"/>
          </w:tcPr>
          <w:p>
            <w:r/>
            <w:r>
              <w:rPr>
                <w:b w:val="0"/>
                <w:sz w:val="18"/>
              </w:rPr>
              <w:t>Distance variable</w:t>
            </w:r>
          </w:p>
        </w:tc>
        <w:tc>
          <w:tcPr>
            <w:tcW w:type="dxa" w:w="4968"/>
            <w:vAlign w:val="center"/>
          </w:tcPr>
          <w:p>
            <w:r/>
            <w:r>
              <w:rPr>
                <w:b w:val="0"/>
                <w:sz w:val="18"/>
              </w:rPr>
              <w:t>Delivery_Distance_KM (Haversine estimate)</w:t>
            </w:r>
          </w:p>
        </w:tc>
      </w:tr>
      <w:tr>
        <w:tc>
          <w:tcPr>
            <w:tcW w:type="dxa" w:w="4968"/>
            <w:vAlign w:val="center"/>
          </w:tcPr>
          <w:p>
            <w:r/>
            <w:r>
              <w:rPr>
                <w:b w:val="0"/>
                <w:sz w:val="18"/>
              </w:rPr>
              <w:t>Temporal analysis</w:t>
            </w:r>
          </w:p>
        </w:tc>
        <w:tc>
          <w:tcPr>
            <w:tcW w:type="dxa" w:w="4968"/>
            <w:vAlign w:val="center"/>
          </w:tcPr>
          <w:p>
            <w:r/>
            <w:r>
              <w:rPr>
                <w:b w:val="0"/>
                <w:sz w:val="18"/>
              </w:rPr>
              <w:t>Order hour, day of week, weekday/weekend</w:t>
            </w:r>
          </w:p>
        </w:tc>
      </w:tr>
    </w:tbl>
    <w:p/>
    <w:p>
      <w:r>
        <w:t>The supplied analysis states that all reported metrics, percentiles, sample sizes, and correlations were calculated directly from the dataset. This report therefore preserves those reported empirical results rather than introducing unsupported values.</w:t>
      </w:r>
    </w:p>
    <w:p>
      <w:pPr>
        <w:pStyle w:val="Heading1"/>
      </w:pPr>
      <w:r>
        <w:t>4. Analytics Methodology</w:t>
      </w:r>
    </w:p>
    <w:p>
      <w:pPr>
        <w:pStyle w:val="Heading2"/>
      </w:pPr>
      <w:r>
        <w:t>4.1 Four-Tier Analytics Ladder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Tier</w:t>
            </w:r>
          </w:p>
        </w:tc>
        <w:tc>
          <w:tcPr>
            <w:tcW w:type="dxa" w:w="3312"/>
            <w:vAlign w:val="center"/>
            <w:shd w:fill="D9EAF7"/>
          </w:tcPr>
          <w:p>
            <w:r/>
            <w:r>
              <w:rPr>
                <w:b/>
                <w:sz w:val="18"/>
              </w:rPr>
              <w:t>Purpose</w:t>
            </w:r>
          </w:p>
        </w:tc>
        <w:tc>
          <w:tcPr>
            <w:tcW w:type="dxa" w:w="3312"/>
            <w:vAlign w:val="center"/>
            <w:shd w:fill="D9EAF7"/>
          </w:tcPr>
          <w:p>
            <w:r/>
            <w:r>
              <w:rPr>
                <w:b/>
                <w:sz w:val="18"/>
              </w:rPr>
              <w:t>Application in this project</w:t>
            </w:r>
          </w:p>
        </w:tc>
      </w:tr>
      <w:tr>
        <w:tc>
          <w:tcPr>
            <w:tcW w:type="dxa" w:w="3312"/>
            <w:vAlign w:val="center"/>
          </w:tcPr>
          <w:p>
            <w:r/>
            <w:r>
              <w:rPr>
                <w:b w:val="0"/>
                <w:sz w:val="18"/>
              </w:rPr>
              <w:t>Level 1 — Descriptive</w:t>
            </w:r>
          </w:p>
        </w:tc>
        <w:tc>
          <w:tcPr>
            <w:tcW w:type="dxa" w:w="3312"/>
            <w:vAlign w:val="center"/>
          </w:tcPr>
          <w:p>
            <w:r/>
            <w:r>
              <w:rPr>
                <w:b w:val="0"/>
                <w:sz w:val="18"/>
              </w:rPr>
              <w:t>What happened?</w:t>
            </w:r>
          </w:p>
        </w:tc>
        <w:tc>
          <w:tcPr>
            <w:tcW w:type="dxa" w:w="3312"/>
            <w:vAlign w:val="center"/>
          </w:tcPr>
          <w:p>
            <w:r/>
            <w:r>
              <w:rPr>
                <w:b w:val="0"/>
                <w:sz w:val="18"/>
              </w:rPr>
              <w:t>Distribution, mean, median, percentiles, order volumes.</w:t>
            </w:r>
          </w:p>
        </w:tc>
      </w:tr>
      <w:tr>
        <w:tc>
          <w:tcPr>
            <w:tcW w:type="dxa" w:w="3312"/>
            <w:vAlign w:val="center"/>
          </w:tcPr>
          <w:p>
            <w:r/>
            <w:r>
              <w:rPr>
                <w:b w:val="0"/>
                <w:sz w:val="18"/>
              </w:rPr>
              <w:t>Level 2 — Diagnostic</w:t>
            </w:r>
          </w:p>
        </w:tc>
        <w:tc>
          <w:tcPr>
            <w:tcW w:type="dxa" w:w="3312"/>
            <w:vAlign w:val="center"/>
          </w:tcPr>
          <w:p>
            <w:r/>
            <w:r>
              <w:rPr>
                <w:b w:val="0"/>
                <w:sz w:val="18"/>
              </w:rPr>
              <w:t>What patterns are associated?</w:t>
            </w:r>
          </w:p>
        </w:tc>
        <w:tc>
          <w:tcPr>
            <w:tcW w:type="dxa" w:w="3312"/>
            <w:vAlign w:val="center"/>
          </w:tcPr>
          <w:p>
            <w:r/>
            <w:r>
              <w:rPr>
                <w:b w:val="0"/>
                <w:sz w:val="18"/>
              </w:rPr>
              <w:t>Traffic, weather, distance, time-of-day and calendar cohorts.</w:t>
            </w:r>
          </w:p>
        </w:tc>
      </w:tr>
      <w:tr>
        <w:tc>
          <w:tcPr>
            <w:tcW w:type="dxa" w:w="3312"/>
            <w:vAlign w:val="center"/>
          </w:tcPr>
          <w:p>
            <w:r/>
            <w:r>
              <w:rPr>
                <w:b w:val="0"/>
                <w:sz w:val="18"/>
              </w:rPr>
              <w:t>Level 3 — Predictive</w:t>
            </w:r>
          </w:p>
        </w:tc>
        <w:tc>
          <w:tcPr>
            <w:tcW w:type="dxa" w:w="3312"/>
            <w:vAlign w:val="center"/>
          </w:tcPr>
          <w:p>
            <w:r/>
            <w:r>
              <w:rPr>
                <w:b w:val="0"/>
                <w:sz w:val="18"/>
              </w:rPr>
              <w:t>What may happen?</w:t>
            </w:r>
          </w:p>
        </w:tc>
        <w:tc>
          <w:tcPr>
            <w:tcW w:type="dxa" w:w="3312"/>
            <w:vAlign w:val="center"/>
          </w:tcPr>
          <w:p>
            <w:r/>
            <w:r>
              <w:rPr>
                <w:b w:val="0"/>
                <w:sz w:val="18"/>
              </w:rPr>
              <w:t>Intended future component: classify elevated delay risk using pre-delivery features.</w:t>
            </w:r>
          </w:p>
        </w:tc>
      </w:tr>
      <w:tr>
        <w:tc>
          <w:tcPr>
            <w:tcW w:type="dxa" w:w="3312"/>
            <w:vAlign w:val="center"/>
          </w:tcPr>
          <w:p>
            <w:r/>
            <w:r>
              <w:rPr>
                <w:b w:val="0"/>
                <w:sz w:val="18"/>
              </w:rPr>
              <w:t>Level 4 — Prescriptive</w:t>
            </w:r>
          </w:p>
        </w:tc>
        <w:tc>
          <w:tcPr>
            <w:tcW w:type="dxa" w:w="3312"/>
            <w:vAlign w:val="center"/>
          </w:tcPr>
          <w:p>
            <w:r/>
            <w:r>
              <w:rPr>
                <w:b w:val="0"/>
                <w:sz w:val="18"/>
              </w:rPr>
              <w:t>What action can operations take?</w:t>
            </w:r>
          </w:p>
        </w:tc>
        <w:tc>
          <w:tcPr>
            <w:tcW w:type="dxa" w:w="3312"/>
            <w:vAlign w:val="center"/>
          </w:tcPr>
          <w:p>
            <w:r/>
            <w:r>
              <w:rPr>
                <w:b w:val="0"/>
                <w:sz w:val="18"/>
              </w:rPr>
              <w:t>Intended future component: prioritize limited intervention capacity using predicted risk.</w:t>
            </w:r>
          </w:p>
        </w:tc>
      </w:tr>
    </w:tbl>
    <w:p/>
    <w:p>
      <w:r>
        <w:t>The supplied source provides completed empirical results for Levels 1 and 2. It does not provide model-training results, confusion matrices, ROC-AUC, or predicted-risk outputs. Those items are therefore not fabricated in this report.</w:t>
      </w:r>
    </w:p>
    <w:p>
      <w:pPr>
        <w:pStyle w:val="Heading1"/>
      </w:pPr>
      <w:r>
        <w:t>5. Exploratory &amp; Diagnostic Analysis</w:t>
      </w:r>
    </w:p>
    <w:p>
      <w:pPr>
        <w:pStyle w:val="Heading2"/>
      </w:pPr>
      <w:r>
        <w:t>5.1 Visualization 1 — Delivery Time Distribution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Metric</w:t>
            </w:r>
          </w:p>
        </w:tc>
        <w:tc>
          <w:tcPr>
            <w:tcW w:type="dxa" w:w="3312"/>
            <w:vAlign w:val="center"/>
            <w:shd w:fill="D9EAF7"/>
          </w:tcPr>
          <w:p>
            <w:r/>
            <w:r>
              <w:rPr>
                <w:b/>
                <w:sz w:val="18"/>
              </w:rPr>
              <w:t>Value</w:t>
            </w:r>
          </w:p>
        </w:tc>
        <w:tc>
          <w:tcPr>
            <w:tcW w:type="dxa" w:w="3312"/>
            <w:vAlign w:val="center"/>
            <w:shd w:fill="D9EAF7"/>
          </w:tcPr>
          <w:p>
            <w:r/>
            <w:r>
              <w:rPr>
                <w:b/>
                <w:sz w:val="18"/>
              </w:rPr>
              <w:t>Interpretation</w:t>
            </w:r>
          </w:p>
        </w:tc>
      </w:tr>
      <w:tr>
        <w:tc>
          <w:tcPr>
            <w:tcW w:type="dxa" w:w="3312"/>
            <w:vAlign w:val="center"/>
          </w:tcPr>
          <w:p>
            <w:r/>
            <w:r>
              <w:rPr>
                <w:b w:val="0"/>
                <w:sz w:val="18"/>
              </w:rPr>
              <w:t>Observed minimum</w:t>
            </w:r>
          </w:p>
        </w:tc>
        <w:tc>
          <w:tcPr>
            <w:tcW w:type="dxa" w:w="3312"/>
            <w:vAlign w:val="center"/>
          </w:tcPr>
          <w:p>
            <w:r/>
            <w:r>
              <w:rPr>
                <w:b w:val="0"/>
                <w:sz w:val="18"/>
              </w:rPr>
              <w:t>10.0 min</w:t>
            </w:r>
          </w:p>
        </w:tc>
        <w:tc>
          <w:tcPr>
            <w:tcW w:type="dxa" w:w="3312"/>
            <w:vAlign w:val="center"/>
          </w:tcPr>
          <w:p>
            <w:r/>
            <w:r>
              <w:rPr>
                <w:b w:val="0"/>
                <w:sz w:val="18"/>
              </w:rPr>
              <w:t>Fastest recorded delivery</w:t>
            </w:r>
          </w:p>
        </w:tc>
      </w:tr>
      <w:tr>
        <w:tc>
          <w:tcPr>
            <w:tcW w:type="dxa" w:w="3312"/>
            <w:vAlign w:val="center"/>
          </w:tcPr>
          <w:p>
            <w:r/>
            <w:r>
              <w:rPr>
                <w:b w:val="0"/>
                <w:sz w:val="18"/>
              </w:rPr>
              <w:t>25th percentile (Q1)</w:t>
            </w:r>
          </w:p>
        </w:tc>
        <w:tc>
          <w:tcPr>
            <w:tcW w:type="dxa" w:w="3312"/>
            <w:vAlign w:val="center"/>
          </w:tcPr>
          <w:p>
            <w:r/>
            <w:r>
              <w:rPr>
                <w:b w:val="0"/>
                <w:sz w:val="18"/>
              </w:rPr>
              <w:t>19.0 min</w:t>
            </w:r>
          </w:p>
        </w:tc>
        <w:tc>
          <w:tcPr>
            <w:tcW w:type="dxa" w:w="3312"/>
            <w:vAlign w:val="center"/>
          </w:tcPr>
          <w:p>
            <w:r/>
            <w:r>
              <w:rPr>
                <w:b w:val="0"/>
                <w:sz w:val="18"/>
              </w:rPr>
              <w:t>Lower quartile</w:t>
            </w:r>
          </w:p>
        </w:tc>
      </w:tr>
      <w:tr>
        <w:tc>
          <w:tcPr>
            <w:tcW w:type="dxa" w:w="3312"/>
            <w:vAlign w:val="center"/>
          </w:tcPr>
          <w:p>
            <w:r/>
            <w:r>
              <w:rPr>
                <w:b w:val="0"/>
                <w:sz w:val="18"/>
              </w:rPr>
              <w:t>Median</w:t>
            </w:r>
          </w:p>
        </w:tc>
        <w:tc>
          <w:tcPr>
            <w:tcW w:type="dxa" w:w="3312"/>
            <w:vAlign w:val="center"/>
          </w:tcPr>
          <w:p>
            <w:r/>
            <w:r>
              <w:rPr>
                <w:b w:val="0"/>
                <w:sz w:val="18"/>
              </w:rPr>
              <w:t>26.0 min</w:t>
            </w:r>
          </w:p>
        </w:tc>
        <w:tc>
          <w:tcPr>
            <w:tcW w:type="dxa" w:w="3312"/>
            <w:vAlign w:val="center"/>
          </w:tcPr>
          <w:p>
            <w:r/>
            <w:r>
              <w:rPr>
                <w:b w:val="0"/>
                <w:sz w:val="18"/>
              </w:rPr>
              <w:t>Central observed duration</w:t>
            </w:r>
          </w:p>
        </w:tc>
      </w:tr>
      <w:tr>
        <w:tc>
          <w:tcPr>
            <w:tcW w:type="dxa" w:w="3312"/>
            <w:vAlign w:val="center"/>
          </w:tcPr>
          <w:p>
            <w:r/>
            <w:r>
              <w:rPr>
                <w:b w:val="0"/>
                <w:sz w:val="18"/>
              </w:rPr>
              <w:t>Mean</w:t>
            </w:r>
          </w:p>
        </w:tc>
        <w:tc>
          <w:tcPr>
            <w:tcW w:type="dxa" w:w="3312"/>
            <w:vAlign w:val="center"/>
          </w:tcPr>
          <w:p>
            <w:r/>
            <w:r>
              <w:rPr>
                <w:b w:val="0"/>
                <w:sz w:val="18"/>
              </w:rPr>
              <w:t>26.29 min</w:t>
            </w:r>
          </w:p>
        </w:tc>
        <w:tc>
          <w:tcPr>
            <w:tcW w:type="dxa" w:w="3312"/>
            <w:vAlign w:val="center"/>
          </w:tcPr>
          <w:p>
            <w:r/>
            <w:r>
              <w:rPr>
                <w:b w:val="0"/>
                <w:sz w:val="18"/>
              </w:rPr>
              <w:t>Fleet-wide arithmetic average</w:t>
            </w:r>
          </w:p>
        </w:tc>
      </w:tr>
      <w:tr>
        <w:tc>
          <w:tcPr>
            <w:tcW w:type="dxa" w:w="3312"/>
            <w:vAlign w:val="center"/>
          </w:tcPr>
          <w:p>
            <w:r/>
            <w:r>
              <w:rPr>
                <w:b w:val="0"/>
                <w:sz w:val="18"/>
              </w:rPr>
              <w:t>75th percentile (Q3)</w:t>
            </w:r>
          </w:p>
        </w:tc>
        <w:tc>
          <w:tcPr>
            <w:tcW w:type="dxa" w:w="3312"/>
            <w:vAlign w:val="center"/>
          </w:tcPr>
          <w:p>
            <w:r/>
            <w:r>
              <w:rPr>
                <w:b w:val="0"/>
                <w:sz w:val="18"/>
              </w:rPr>
              <w:t>32.0 min</w:t>
            </w:r>
          </w:p>
        </w:tc>
        <w:tc>
          <w:tcPr>
            <w:tcW w:type="dxa" w:w="3312"/>
            <w:vAlign w:val="center"/>
          </w:tcPr>
          <w:p>
            <w:r/>
            <w:r>
              <w:rPr>
                <w:b w:val="0"/>
                <w:sz w:val="18"/>
              </w:rPr>
              <w:t>Upper quartile</w:t>
            </w:r>
          </w:p>
        </w:tc>
      </w:tr>
      <w:tr>
        <w:tc>
          <w:tcPr>
            <w:tcW w:type="dxa" w:w="3312"/>
            <w:vAlign w:val="center"/>
          </w:tcPr>
          <w:p>
            <w:r/>
            <w:r>
              <w:rPr>
                <w:b w:val="0"/>
                <w:sz w:val="18"/>
              </w:rPr>
              <w:t>90th percentile</w:t>
            </w:r>
          </w:p>
        </w:tc>
        <w:tc>
          <w:tcPr>
            <w:tcW w:type="dxa" w:w="3312"/>
            <w:vAlign w:val="center"/>
          </w:tcPr>
          <w:p>
            <w:r/>
            <w:r>
              <w:rPr>
                <w:b w:val="0"/>
                <w:sz w:val="18"/>
              </w:rPr>
              <w:t>40.0 min</w:t>
            </w:r>
          </w:p>
        </w:tc>
        <w:tc>
          <w:tcPr>
            <w:tcW w:type="dxa" w:w="3312"/>
            <w:vAlign w:val="center"/>
          </w:tcPr>
          <w:p>
            <w:r/>
            <w:r>
              <w:rPr>
                <w:b w:val="0"/>
                <w:sz w:val="18"/>
              </w:rPr>
              <w:t>90% of observations within this duration</w:t>
            </w:r>
          </w:p>
        </w:tc>
      </w:tr>
      <w:tr>
        <w:tc>
          <w:tcPr>
            <w:tcW w:type="dxa" w:w="3312"/>
            <w:vAlign w:val="center"/>
          </w:tcPr>
          <w:p>
            <w:r/>
            <w:r>
              <w:rPr>
                <w:b w:val="0"/>
                <w:sz w:val="18"/>
              </w:rPr>
              <w:t>95th percentile</w:t>
            </w:r>
          </w:p>
        </w:tc>
        <w:tc>
          <w:tcPr>
            <w:tcW w:type="dxa" w:w="3312"/>
            <w:vAlign w:val="center"/>
          </w:tcPr>
          <w:p>
            <w:r/>
            <w:r>
              <w:rPr>
                <w:b w:val="0"/>
                <w:sz w:val="18"/>
              </w:rPr>
              <w:t>44.0 min</w:t>
            </w:r>
          </w:p>
        </w:tc>
        <w:tc>
          <w:tcPr>
            <w:tcW w:type="dxa" w:w="3312"/>
            <w:vAlign w:val="center"/>
          </w:tcPr>
          <w:p>
            <w:r/>
            <w:r>
              <w:rPr>
                <w:b w:val="0"/>
                <w:sz w:val="18"/>
              </w:rPr>
              <w:t>95% of observations within this duration</w:t>
            </w:r>
          </w:p>
        </w:tc>
      </w:tr>
      <w:tr>
        <w:tc>
          <w:tcPr>
            <w:tcW w:type="dxa" w:w="3312"/>
            <w:vAlign w:val="center"/>
          </w:tcPr>
          <w:p>
            <w:r/>
            <w:r>
              <w:rPr>
                <w:b w:val="0"/>
                <w:sz w:val="18"/>
              </w:rPr>
              <w:t>99th percentile</w:t>
            </w:r>
          </w:p>
        </w:tc>
        <w:tc>
          <w:tcPr>
            <w:tcW w:type="dxa" w:w="3312"/>
            <w:vAlign w:val="center"/>
          </w:tcPr>
          <w:p>
            <w:r/>
            <w:r>
              <w:rPr>
                <w:b w:val="0"/>
                <w:sz w:val="18"/>
              </w:rPr>
              <w:t>49.0 min</w:t>
            </w:r>
          </w:p>
        </w:tc>
        <w:tc>
          <w:tcPr>
            <w:tcW w:type="dxa" w:w="3312"/>
            <w:vAlign w:val="center"/>
          </w:tcPr>
          <w:p>
            <w:r/>
            <w:r>
              <w:rPr>
                <w:b w:val="0"/>
                <w:sz w:val="18"/>
              </w:rPr>
              <w:t>Extreme operational tail</w:t>
            </w:r>
          </w:p>
        </w:tc>
      </w:tr>
      <w:tr>
        <w:tc>
          <w:tcPr>
            <w:tcW w:type="dxa" w:w="3312"/>
            <w:vAlign w:val="center"/>
          </w:tcPr>
          <w:p>
            <w:r/>
            <w:r>
              <w:rPr>
                <w:b w:val="0"/>
                <w:sz w:val="18"/>
              </w:rPr>
              <w:t>Observed maximum</w:t>
            </w:r>
          </w:p>
        </w:tc>
        <w:tc>
          <w:tcPr>
            <w:tcW w:type="dxa" w:w="3312"/>
            <w:vAlign w:val="center"/>
          </w:tcPr>
          <w:p>
            <w:r/>
            <w:r>
              <w:rPr>
                <w:b w:val="0"/>
                <w:sz w:val="18"/>
              </w:rPr>
              <w:t>54.0 min</w:t>
            </w:r>
          </w:p>
        </w:tc>
        <w:tc>
          <w:tcPr>
            <w:tcW w:type="dxa" w:w="3312"/>
            <w:vAlign w:val="center"/>
          </w:tcPr>
          <w:p>
            <w:r/>
            <w:r>
              <w:rPr>
                <w:b w:val="0"/>
                <w:sz w:val="18"/>
              </w:rPr>
              <w:t>Maximum recorded delivery time</w:t>
            </w:r>
          </w:p>
        </w:tc>
      </w:tr>
      <w:tr>
        <w:tc>
          <w:tcPr>
            <w:tcW w:type="dxa" w:w="3312"/>
            <w:vAlign w:val="center"/>
          </w:tcPr>
          <w:p>
            <w:r/>
            <w:r>
              <w:rPr>
                <w:b w:val="0"/>
                <w:sz w:val="18"/>
              </w:rPr>
              <w:t>Standard deviation</w:t>
            </w:r>
          </w:p>
        </w:tc>
        <w:tc>
          <w:tcPr>
            <w:tcW w:type="dxa" w:w="3312"/>
            <w:vAlign w:val="center"/>
          </w:tcPr>
          <w:p>
            <w:r/>
            <w:r>
              <w:rPr>
                <w:b w:val="0"/>
                <w:sz w:val="18"/>
              </w:rPr>
              <w:t>9.38 min</w:t>
            </w:r>
          </w:p>
        </w:tc>
        <w:tc>
          <w:tcPr>
            <w:tcW w:type="dxa" w:w="3312"/>
            <w:vAlign w:val="center"/>
          </w:tcPr>
          <w:p>
            <w:r/>
            <w:r>
              <w:rPr>
                <w:b w:val="0"/>
                <w:sz w:val="18"/>
              </w:rPr>
              <w:t>Dispersion around the mean</w:t>
            </w:r>
          </w:p>
        </w:tc>
      </w:tr>
    </w:tbl>
    <w:p/>
    <w:p>
      <w:r>
        <w:t>Empirical observation: The median observed delivery time is 26.0 minutes. The mean is 26.29 minutes with a standard deviation of 9.38 minutes. Twenty-five percent of orders were completed within 19 minutes, 75% within 32 minutes, 90% within 40 minutes, and 95% within 44 minutes. The observed range is 10–54 minutes.</w:t>
      </w:r>
    </w:p>
    <w:p>
      <w:pPr>
        <w:pStyle w:val="Heading2"/>
      </w:pPr>
      <w:r>
        <w:t>5.2 Visualization 2 — Traffic vs Delivery Time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Traffic density</w:t>
            </w:r>
          </w:p>
        </w:tc>
        <w:tc>
          <w:tcPr>
            <w:tcW w:type="dxa" w:w="1419"/>
            <w:vAlign w:val="center"/>
            <w:shd w:fill="D9EAF7"/>
          </w:tcPr>
          <w:p>
            <w:r/>
            <w:r>
              <w:rPr>
                <w:b/>
                <w:sz w:val="18"/>
              </w:rPr>
              <w:t>N</w:t>
            </w:r>
          </w:p>
        </w:tc>
        <w:tc>
          <w:tcPr>
            <w:tcW w:type="dxa" w:w="1419"/>
            <w:vAlign w:val="center"/>
            <w:shd w:fill="D9EAF7"/>
          </w:tcPr>
          <w:p>
            <w:r/>
            <w:r>
              <w:rPr>
                <w:b/>
                <w:sz w:val="18"/>
              </w:rPr>
              <w:t>Share</w:t>
            </w:r>
          </w:p>
        </w:tc>
        <w:tc>
          <w:tcPr>
            <w:tcW w:type="dxa" w:w="1419"/>
            <w:vAlign w:val="center"/>
            <w:shd w:fill="D9EAF7"/>
          </w:tcPr>
          <w:p>
            <w:r/>
            <w:r>
              <w:rPr>
                <w:b/>
                <w:sz w:val="18"/>
              </w:rPr>
              <w:t>Mean</w:t>
            </w:r>
          </w:p>
        </w:tc>
        <w:tc>
          <w:tcPr>
            <w:tcW w:type="dxa" w:w="1419"/>
            <w:vAlign w:val="center"/>
            <w:shd w:fill="D9EAF7"/>
          </w:tcPr>
          <w:p>
            <w:r/>
            <w:r>
              <w:rPr>
                <w:b/>
                <w:sz w:val="18"/>
              </w:rPr>
              <w:t>Median</w:t>
            </w:r>
          </w:p>
        </w:tc>
        <w:tc>
          <w:tcPr>
            <w:tcW w:type="dxa" w:w="1419"/>
            <w:vAlign w:val="center"/>
            <w:shd w:fill="D9EAF7"/>
          </w:tcPr>
          <w:p>
            <w:r/>
            <w:r>
              <w:rPr>
                <w:b/>
                <w:sz w:val="18"/>
              </w:rPr>
              <w:t>Std. Dev.</w:t>
            </w:r>
          </w:p>
        </w:tc>
        <w:tc>
          <w:tcPr>
            <w:tcW w:type="dxa" w:w="1419"/>
            <w:vAlign w:val="center"/>
            <w:shd w:fill="D9EAF7"/>
          </w:tcPr>
          <w:p>
            <w:r/>
            <w:r>
              <w:rPr>
                <w:b/>
                <w:sz w:val="18"/>
              </w:rPr>
              <w:t>IQR</w:t>
            </w:r>
          </w:p>
        </w:tc>
      </w:tr>
      <w:tr>
        <w:tc>
          <w:tcPr>
            <w:tcW w:type="dxa" w:w="1419"/>
            <w:vAlign w:val="center"/>
          </w:tcPr>
          <w:p>
            <w:r/>
            <w:r>
              <w:rPr>
                <w:b w:val="0"/>
                <w:sz w:val="18"/>
              </w:rPr>
              <w:t>Low</w:t>
            </w:r>
          </w:p>
        </w:tc>
        <w:tc>
          <w:tcPr>
            <w:tcW w:type="dxa" w:w="1419"/>
            <w:vAlign w:val="center"/>
          </w:tcPr>
          <w:p>
            <w:r/>
            <w:r>
              <w:rPr>
                <w:b w:val="0"/>
                <w:sz w:val="18"/>
              </w:rPr>
              <w:t>15,477</w:t>
            </w:r>
          </w:p>
        </w:tc>
        <w:tc>
          <w:tcPr>
            <w:tcW w:type="dxa" w:w="1419"/>
            <w:vAlign w:val="center"/>
          </w:tcPr>
          <w:p>
            <w:r/>
            <w:r>
              <w:rPr>
                <w:b w:val="0"/>
                <w:sz w:val="18"/>
              </w:rPr>
              <w:t>33.95%</w:t>
            </w:r>
          </w:p>
        </w:tc>
        <w:tc>
          <w:tcPr>
            <w:tcW w:type="dxa" w:w="1419"/>
            <w:vAlign w:val="center"/>
          </w:tcPr>
          <w:p>
            <w:r/>
            <w:r>
              <w:rPr>
                <w:b w:val="0"/>
                <w:sz w:val="18"/>
              </w:rPr>
              <w:t>21.27 min</w:t>
            </w:r>
          </w:p>
        </w:tc>
        <w:tc>
          <w:tcPr>
            <w:tcW w:type="dxa" w:w="1419"/>
            <w:vAlign w:val="center"/>
          </w:tcPr>
          <w:p>
            <w:r/>
            <w:r>
              <w:rPr>
                <w:b w:val="0"/>
                <w:sz w:val="18"/>
              </w:rPr>
              <w:t>20.0 min</w:t>
            </w:r>
          </w:p>
        </w:tc>
        <w:tc>
          <w:tcPr>
            <w:tcW w:type="dxa" w:w="1419"/>
            <w:vAlign w:val="center"/>
          </w:tcPr>
          <w:p>
            <w:r/>
            <w:r>
              <w:rPr>
                <w:b w:val="0"/>
                <w:sz w:val="18"/>
              </w:rPr>
              <w:t>6.80 min</w:t>
            </w:r>
          </w:p>
        </w:tc>
        <w:tc>
          <w:tcPr>
            <w:tcW w:type="dxa" w:w="1419"/>
            <w:vAlign w:val="center"/>
          </w:tcPr>
          <w:p>
            <w:r/>
            <w:r>
              <w:rPr>
                <w:b w:val="0"/>
                <w:sz w:val="18"/>
              </w:rPr>
              <w:t>16–26 min</w:t>
            </w:r>
          </w:p>
        </w:tc>
      </w:tr>
      <w:tr>
        <w:tc>
          <w:tcPr>
            <w:tcW w:type="dxa" w:w="1419"/>
            <w:vAlign w:val="center"/>
          </w:tcPr>
          <w:p>
            <w:r/>
            <w:r>
              <w:rPr>
                <w:b w:val="0"/>
                <w:sz w:val="18"/>
              </w:rPr>
              <w:t>Medium</w:t>
            </w:r>
          </w:p>
        </w:tc>
        <w:tc>
          <w:tcPr>
            <w:tcW w:type="dxa" w:w="1419"/>
            <w:vAlign w:val="center"/>
          </w:tcPr>
          <w:p>
            <w:r/>
            <w:r>
              <w:rPr>
                <w:b w:val="0"/>
                <w:sz w:val="18"/>
              </w:rPr>
              <w:t>11,548</w:t>
            </w:r>
          </w:p>
        </w:tc>
        <w:tc>
          <w:tcPr>
            <w:tcW w:type="dxa" w:w="1419"/>
            <w:vAlign w:val="center"/>
          </w:tcPr>
          <w:p>
            <w:r/>
            <w:r>
              <w:rPr>
                <w:b w:val="0"/>
                <w:sz w:val="18"/>
              </w:rPr>
              <w:t>25.33%</w:t>
            </w:r>
          </w:p>
        </w:tc>
        <w:tc>
          <w:tcPr>
            <w:tcW w:type="dxa" w:w="1419"/>
            <w:vAlign w:val="center"/>
          </w:tcPr>
          <w:p>
            <w:r/>
            <w:r>
              <w:rPr>
                <w:b w:val="0"/>
                <w:sz w:val="18"/>
              </w:rPr>
              <w:t>26.69 min</w:t>
            </w:r>
          </w:p>
        </w:tc>
        <w:tc>
          <w:tcPr>
            <w:tcW w:type="dxa" w:w="1419"/>
            <w:vAlign w:val="center"/>
          </w:tcPr>
          <w:p>
            <w:r/>
            <w:r>
              <w:rPr>
                <w:b w:val="0"/>
                <w:sz w:val="18"/>
              </w:rPr>
              <w:t>26.0 min</w:t>
            </w:r>
          </w:p>
        </w:tc>
        <w:tc>
          <w:tcPr>
            <w:tcW w:type="dxa" w:w="1419"/>
            <w:vAlign w:val="center"/>
          </w:tcPr>
          <w:p>
            <w:r/>
            <w:r>
              <w:rPr>
                <w:b w:val="0"/>
                <w:sz w:val="18"/>
              </w:rPr>
              <w:t>8.61 min</w:t>
            </w:r>
          </w:p>
        </w:tc>
        <w:tc>
          <w:tcPr>
            <w:tcW w:type="dxa" w:w="1419"/>
            <w:vAlign w:val="center"/>
          </w:tcPr>
          <w:p>
            <w:r/>
            <w:r>
              <w:rPr>
                <w:b w:val="0"/>
                <w:sz w:val="18"/>
              </w:rPr>
              <w:t>20–33 min</w:t>
            </w:r>
          </w:p>
        </w:tc>
      </w:tr>
      <w:tr>
        <w:tc>
          <w:tcPr>
            <w:tcW w:type="dxa" w:w="1419"/>
            <w:vAlign w:val="center"/>
          </w:tcPr>
          <w:p>
            <w:r/>
            <w:r>
              <w:rPr>
                <w:b w:val="0"/>
                <w:sz w:val="18"/>
              </w:rPr>
              <w:t>High</w:t>
            </w:r>
          </w:p>
        </w:tc>
        <w:tc>
          <w:tcPr>
            <w:tcW w:type="dxa" w:w="1419"/>
            <w:vAlign w:val="center"/>
          </w:tcPr>
          <w:p>
            <w:r/>
            <w:r>
              <w:rPr>
                <w:b w:val="0"/>
                <w:sz w:val="18"/>
              </w:rPr>
              <w:t>4,425</w:t>
            </w:r>
          </w:p>
        </w:tc>
        <w:tc>
          <w:tcPr>
            <w:tcW w:type="dxa" w:w="1419"/>
            <w:vAlign w:val="center"/>
          </w:tcPr>
          <w:p>
            <w:r/>
            <w:r>
              <w:rPr>
                <w:b w:val="0"/>
                <w:sz w:val="18"/>
              </w:rPr>
              <w:t>9.71%</w:t>
            </w:r>
          </w:p>
        </w:tc>
        <w:tc>
          <w:tcPr>
            <w:tcW w:type="dxa" w:w="1419"/>
            <w:vAlign w:val="center"/>
          </w:tcPr>
          <w:p>
            <w:r/>
            <w:r>
              <w:rPr>
                <w:b w:val="0"/>
                <w:sz w:val="18"/>
              </w:rPr>
              <w:t>27.24 min</w:t>
            </w:r>
          </w:p>
        </w:tc>
        <w:tc>
          <w:tcPr>
            <w:tcW w:type="dxa" w:w="1419"/>
            <w:vAlign w:val="center"/>
          </w:tcPr>
          <w:p>
            <w:r/>
            <w:r>
              <w:rPr>
                <w:b w:val="0"/>
                <w:sz w:val="18"/>
              </w:rPr>
              <w:t>27.0 min</w:t>
            </w:r>
          </w:p>
        </w:tc>
        <w:tc>
          <w:tcPr>
            <w:tcW w:type="dxa" w:w="1419"/>
            <w:vAlign w:val="center"/>
          </w:tcPr>
          <w:p>
            <w:r/>
            <w:r>
              <w:rPr>
                <w:b w:val="0"/>
                <w:sz w:val="18"/>
              </w:rPr>
              <w:t>8.40 min</w:t>
            </w:r>
          </w:p>
        </w:tc>
        <w:tc>
          <w:tcPr>
            <w:tcW w:type="dxa" w:w="1419"/>
            <w:vAlign w:val="center"/>
          </w:tcPr>
          <w:p>
            <w:r/>
            <w:r>
              <w:rPr>
                <w:b w:val="0"/>
                <w:sz w:val="18"/>
              </w:rPr>
              <w:t>22–32 min</w:t>
            </w:r>
          </w:p>
        </w:tc>
      </w:tr>
      <w:tr>
        <w:tc>
          <w:tcPr>
            <w:tcW w:type="dxa" w:w="1419"/>
            <w:vAlign w:val="center"/>
          </w:tcPr>
          <w:p>
            <w:r/>
            <w:r>
              <w:rPr>
                <w:b w:val="0"/>
                <w:sz w:val="18"/>
              </w:rPr>
              <w:t>Jam</w:t>
            </w:r>
          </w:p>
        </w:tc>
        <w:tc>
          <w:tcPr>
            <w:tcW w:type="dxa" w:w="1419"/>
            <w:vAlign w:val="center"/>
          </w:tcPr>
          <w:p>
            <w:r/>
            <w:r>
              <w:rPr>
                <w:b w:val="0"/>
                <w:sz w:val="18"/>
              </w:rPr>
              <w:t>14,143</w:t>
            </w:r>
          </w:p>
        </w:tc>
        <w:tc>
          <w:tcPr>
            <w:tcW w:type="dxa" w:w="1419"/>
            <w:vAlign w:val="center"/>
          </w:tcPr>
          <w:p>
            <w:r/>
            <w:r>
              <w:rPr>
                <w:b w:val="0"/>
                <w:sz w:val="18"/>
              </w:rPr>
              <w:t>31.02%</w:t>
            </w:r>
          </w:p>
        </w:tc>
        <w:tc>
          <w:tcPr>
            <w:tcW w:type="dxa" w:w="1419"/>
            <w:vAlign w:val="center"/>
          </w:tcPr>
          <w:p>
            <w:r/>
            <w:r>
              <w:rPr>
                <w:b w:val="0"/>
                <w:sz w:val="18"/>
              </w:rPr>
              <w:t>31.18 min</w:t>
            </w:r>
          </w:p>
        </w:tc>
        <w:tc>
          <w:tcPr>
            <w:tcW w:type="dxa" w:w="1419"/>
            <w:vAlign w:val="center"/>
          </w:tcPr>
          <w:p>
            <w:r/>
            <w:r>
              <w:rPr>
                <w:b w:val="0"/>
                <w:sz w:val="18"/>
              </w:rPr>
              <w:t>31.0 min</w:t>
            </w:r>
          </w:p>
        </w:tc>
        <w:tc>
          <w:tcPr>
            <w:tcW w:type="dxa" w:w="1419"/>
            <w:vAlign w:val="center"/>
          </w:tcPr>
          <w:p>
            <w:r/>
            <w:r>
              <w:rPr>
                <w:b w:val="0"/>
                <w:sz w:val="18"/>
              </w:rPr>
              <w:t>9.94 min</w:t>
            </w:r>
          </w:p>
        </w:tc>
        <w:tc>
          <w:tcPr>
            <w:tcW w:type="dxa" w:w="1419"/>
            <w:vAlign w:val="center"/>
          </w:tcPr>
          <w:p>
            <w:r/>
            <w:r>
              <w:rPr>
                <w:b w:val="0"/>
                <w:sz w:val="18"/>
              </w:rPr>
              <w:t>24–39 min</w:t>
            </w:r>
          </w:p>
        </w:tc>
      </w:tr>
    </w:tbl>
    <w:p/>
    <w:p>
      <w:r>
        <w:t>Empirical observation: Orders observed under higher traffic conditions had longer average delivery times. Low traffic averaged 21.27 minutes, while Jam conditions averaged 31.18 minutes, an observed difference of 9.91 minutes (46.6%). Medium and High traffic averaged 26.69 and 27.24 minutes respectively.</w:t>
      </w:r>
    </w:p>
    <w:p>
      <w:r>
        <w:t>Interpretation limitation: These are historical associations. The supplied analysis does not establish that traffic density alone causes the difference. Traffic can coincide with rush periods and other operational conditions.</w:t>
      </w:r>
    </w:p>
    <w:p>
      <w:pPr>
        <w:pStyle w:val="Heading2"/>
      </w:pPr>
      <w:r>
        <w:t>5.3 Visualization 3 — Weather vs Delivery Time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Weather</w:t>
            </w:r>
          </w:p>
        </w:tc>
        <w:tc>
          <w:tcPr>
            <w:tcW w:type="dxa" w:w="1419"/>
            <w:vAlign w:val="center"/>
            <w:shd w:fill="D9EAF7"/>
          </w:tcPr>
          <w:p>
            <w:r/>
            <w:r>
              <w:rPr>
                <w:b/>
                <w:sz w:val="18"/>
              </w:rPr>
              <w:t>N</w:t>
            </w:r>
          </w:p>
        </w:tc>
        <w:tc>
          <w:tcPr>
            <w:tcW w:type="dxa" w:w="1419"/>
            <w:vAlign w:val="center"/>
            <w:shd w:fill="D9EAF7"/>
          </w:tcPr>
          <w:p>
            <w:r/>
            <w:r>
              <w:rPr>
                <w:b/>
                <w:sz w:val="18"/>
              </w:rPr>
              <w:t>Share</w:t>
            </w:r>
          </w:p>
        </w:tc>
        <w:tc>
          <w:tcPr>
            <w:tcW w:type="dxa" w:w="1419"/>
            <w:vAlign w:val="center"/>
            <w:shd w:fill="D9EAF7"/>
          </w:tcPr>
          <w:p>
            <w:r/>
            <w:r>
              <w:rPr>
                <w:b/>
                <w:sz w:val="18"/>
              </w:rPr>
              <w:t>Mean</w:t>
            </w:r>
          </w:p>
        </w:tc>
        <w:tc>
          <w:tcPr>
            <w:tcW w:type="dxa" w:w="1419"/>
            <w:vAlign w:val="center"/>
            <w:shd w:fill="D9EAF7"/>
          </w:tcPr>
          <w:p>
            <w:r/>
            <w:r>
              <w:rPr>
                <w:b/>
                <w:sz w:val="18"/>
              </w:rPr>
              <w:t>Median</w:t>
            </w:r>
          </w:p>
        </w:tc>
        <w:tc>
          <w:tcPr>
            <w:tcW w:type="dxa" w:w="1419"/>
            <w:vAlign w:val="center"/>
            <w:shd w:fill="D9EAF7"/>
          </w:tcPr>
          <w:p>
            <w:r/>
            <w:r>
              <w:rPr>
                <w:b/>
                <w:sz w:val="18"/>
              </w:rPr>
              <w:t>Std. Dev.</w:t>
            </w:r>
          </w:p>
        </w:tc>
        <w:tc>
          <w:tcPr>
            <w:tcW w:type="dxa" w:w="1419"/>
            <w:vAlign w:val="center"/>
            <w:shd w:fill="D9EAF7"/>
          </w:tcPr>
          <w:p>
            <w:r/>
            <w:r>
              <w:rPr>
                <w:b/>
                <w:sz w:val="18"/>
              </w:rPr>
              <w:t>IQR</w:t>
            </w:r>
          </w:p>
        </w:tc>
      </w:tr>
      <w:tr>
        <w:tc>
          <w:tcPr>
            <w:tcW w:type="dxa" w:w="1419"/>
            <w:vAlign w:val="center"/>
          </w:tcPr>
          <w:p>
            <w:r/>
            <w:r>
              <w:rPr>
                <w:b w:val="0"/>
                <w:sz w:val="18"/>
              </w:rPr>
              <w:t>Sunny</w:t>
            </w:r>
          </w:p>
        </w:tc>
        <w:tc>
          <w:tcPr>
            <w:tcW w:type="dxa" w:w="1419"/>
            <w:vAlign w:val="center"/>
          </w:tcPr>
          <w:p>
            <w:r/>
            <w:r>
              <w:rPr>
                <w:b w:val="0"/>
                <w:sz w:val="18"/>
              </w:rPr>
              <w:t>7,284</w:t>
            </w:r>
          </w:p>
        </w:tc>
        <w:tc>
          <w:tcPr>
            <w:tcW w:type="dxa" w:w="1419"/>
            <w:vAlign w:val="center"/>
          </w:tcPr>
          <w:p>
            <w:r/>
            <w:r>
              <w:rPr>
                <w:b w:val="0"/>
                <w:sz w:val="18"/>
              </w:rPr>
              <w:t>15.98%</w:t>
            </w:r>
          </w:p>
        </w:tc>
        <w:tc>
          <w:tcPr>
            <w:tcW w:type="dxa" w:w="1419"/>
            <w:vAlign w:val="center"/>
          </w:tcPr>
          <w:p>
            <w:r/>
            <w:r>
              <w:rPr>
                <w:b w:val="0"/>
                <w:sz w:val="18"/>
              </w:rPr>
              <w:t>21.86 min</w:t>
            </w:r>
          </w:p>
        </w:tc>
        <w:tc>
          <w:tcPr>
            <w:tcW w:type="dxa" w:w="1419"/>
            <w:vAlign w:val="center"/>
          </w:tcPr>
          <w:p>
            <w:r/>
            <w:r>
              <w:rPr>
                <w:b w:val="0"/>
                <w:sz w:val="18"/>
              </w:rPr>
              <w:t>20.0 min</w:t>
            </w:r>
          </w:p>
        </w:tc>
        <w:tc>
          <w:tcPr>
            <w:tcW w:type="dxa" w:w="1419"/>
            <w:vAlign w:val="center"/>
          </w:tcPr>
          <w:p>
            <w:r/>
            <w:r>
              <w:rPr>
                <w:b w:val="0"/>
                <w:sz w:val="18"/>
              </w:rPr>
              <w:t>8.33 min</w:t>
            </w:r>
          </w:p>
        </w:tc>
        <w:tc>
          <w:tcPr>
            <w:tcW w:type="dxa" w:w="1419"/>
            <w:vAlign w:val="center"/>
          </w:tcPr>
          <w:p>
            <w:r/>
            <w:r>
              <w:rPr>
                <w:b w:val="0"/>
                <w:sz w:val="18"/>
              </w:rPr>
              <w:t>16–26 min</w:t>
            </w:r>
          </w:p>
        </w:tc>
      </w:tr>
      <w:tr>
        <w:tc>
          <w:tcPr>
            <w:tcW w:type="dxa" w:w="1419"/>
            <w:vAlign w:val="center"/>
          </w:tcPr>
          <w:p>
            <w:r/>
            <w:r>
              <w:rPr>
                <w:b w:val="0"/>
                <w:sz w:val="18"/>
              </w:rPr>
              <w:t>Stormy</w:t>
            </w:r>
          </w:p>
        </w:tc>
        <w:tc>
          <w:tcPr>
            <w:tcW w:type="dxa" w:w="1419"/>
            <w:vAlign w:val="center"/>
          </w:tcPr>
          <w:p>
            <w:r/>
            <w:r>
              <w:rPr>
                <w:b w:val="0"/>
                <w:sz w:val="18"/>
              </w:rPr>
              <w:t>7,586</w:t>
            </w:r>
          </w:p>
        </w:tc>
        <w:tc>
          <w:tcPr>
            <w:tcW w:type="dxa" w:w="1419"/>
            <w:vAlign w:val="center"/>
          </w:tcPr>
          <w:p>
            <w:r/>
            <w:r>
              <w:rPr>
                <w:b w:val="0"/>
                <w:sz w:val="18"/>
              </w:rPr>
              <w:t>16.64%</w:t>
            </w:r>
          </w:p>
        </w:tc>
        <w:tc>
          <w:tcPr>
            <w:tcW w:type="dxa" w:w="1419"/>
            <w:vAlign w:val="center"/>
          </w:tcPr>
          <w:p>
            <w:r/>
            <w:r>
              <w:rPr>
                <w:b w:val="0"/>
                <w:sz w:val="18"/>
              </w:rPr>
              <w:t>25.87 min</w:t>
            </w:r>
          </w:p>
        </w:tc>
        <w:tc>
          <w:tcPr>
            <w:tcW w:type="dxa" w:w="1419"/>
            <w:vAlign w:val="center"/>
          </w:tcPr>
          <w:p>
            <w:r/>
            <w:r>
              <w:rPr>
                <w:b w:val="0"/>
                <w:sz w:val="18"/>
              </w:rPr>
              <w:t>26.0 min</w:t>
            </w:r>
          </w:p>
        </w:tc>
        <w:tc>
          <w:tcPr>
            <w:tcW w:type="dxa" w:w="1419"/>
            <w:vAlign w:val="center"/>
          </w:tcPr>
          <w:p>
            <w:r/>
            <w:r>
              <w:rPr>
                <w:b w:val="0"/>
                <w:sz w:val="18"/>
              </w:rPr>
              <w:t>8.47 min</w:t>
            </w:r>
          </w:p>
        </w:tc>
        <w:tc>
          <w:tcPr>
            <w:tcW w:type="dxa" w:w="1419"/>
            <w:vAlign w:val="center"/>
          </w:tcPr>
          <w:p>
            <w:r/>
            <w:r>
              <w:rPr>
                <w:b w:val="0"/>
                <w:sz w:val="18"/>
              </w:rPr>
              <w:t>20–31 min</w:t>
            </w:r>
          </w:p>
        </w:tc>
      </w:tr>
      <w:tr>
        <w:tc>
          <w:tcPr>
            <w:tcW w:type="dxa" w:w="1419"/>
            <w:vAlign w:val="center"/>
          </w:tcPr>
          <w:p>
            <w:r/>
            <w:r>
              <w:rPr>
                <w:b w:val="0"/>
                <w:sz w:val="18"/>
              </w:rPr>
              <w:t>Sandstorms</w:t>
            </w:r>
          </w:p>
        </w:tc>
        <w:tc>
          <w:tcPr>
            <w:tcW w:type="dxa" w:w="1419"/>
            <w:vAlign w:val="center"/>
          </w:tcPr>
          <w:p>
            <w:r/>
            <w:r>
              <w:rPr>
                <w:b w:val="0"/>
                <w:sz w:val="18"/>
              </w:rPr>
              <w:t>7,495</w:t>
            </w:r>
          </w:p>
        </w:tc>
        <w:tc>
          <w:tcPr>
            <w:tcW w:type="dxa" w:w="1419"/>
            <w:vAlign w:val="center"/>
          </w:tcPr>
          <w:p>
            <w:r/>
            <w:r>
              <w:rPr>
                <w:b w:val="0"/>
                <w:sz w:val="18"/>
              </w:rPr>
              <w:t>16.44%</w:t>
            </w:r>
          </w:p>
        </w:tc>
        <w:tc>
          <w:tcPr>
            <w:tcW w:type="dxa" w:w="1419"/>
            <w:vAlign w:val="center"/>
          </w:tcPr>
          <w:p>
            <w:r/>
            <w:r>
              <w:rPr>
                <w:b w:val="0"/>
                <w:sz w:val="18"/>
              </w:rPr>
              <w:t>25.88 min</w:t>
            </w:r>
          </w:p>
        </w:tc>
        <w:tc>
          <w:tcPr>
            <w:tcW w:type="dxa" w:w="1419"/>
            <w:vAlign w:val="center"/>
          </w:tcPr>
          <w:p>
            <w:r/>
            <w:r>
              <w:rPr>
                <w:b w:val="0"/>
                <w:sz w:val="18"/>
              </w:rPr>
              <w:t>26.0 min</w:t>
            </w:r>
          </w:p>
        </w:tc>
        <w:tc>
          <w:tcPr>
            <w:tcW w:type="dxa" w:w="1419"/>
            <w:vAlign w:val="center"/>
          </w:tcPr>
          <w:p>
            <w:r/>
            <w:r>
              <w:rPr>
                <w:b w:val="0"/>
                <w:sz w:val="18"/>
              </w:rPr>
              <w:t>8.62 min</w:t>
            </w:r>
          </w:p>
        </w:tc>
        <w:tc>
          <w:tcPr>
            <w:tcW w:type="dxa" w:w="1419"/>
            <w:vAlign w:val="center"/>
          </w:tcPr>
          <w:p>
            <w:r/>
            <w:r>
              <w:rPr>
                <w:b w:val="0"/>
                <w:sz w:val="18"/>
              </w:rPr>
              <w:t>20–31 min</w:t>
            </w:r>
          </w:p>
        </w:tc>
      </w:tr>
      <w:tr>
        <w:tc>
          <w:tcPr>
            <w:tcW w:type="dxa" w:w="1419"/>
            <w:vAlign w:val="center"/>
          </w:tcPr>
          <w:p>
            <w:r/>
            <w:r>
              <w:rPr>
                <w:b w:val="0"/>
                <w:sz w:val="18"/>
              </w:rPr>
              <w:t>Windy</w:t>
            </w:r>
          </w:p>
        </w:tc>
        <w:tc>
          <w:tcPr>
            <w:tcW w:type="dxa" w:w="1419"/>
            <w:vAlign w:val="center"/>
          </w:tcPr>
          <w:p>
            <w:r/>
            <w:r>
              <w:rPr>
                <w:b w:val="0"/>
                <w:sz w:val="18"/>
              </w:rPr>
              <w:t>7,422</w:t>
            </w:r>
          </w:p>
        </w:tc>
        <w:tc>
          <w:tcPr>
            <w:tcW w:type="dxa" w:w="1419"/>
            <w:vAlign w:val="center"/>
          </w:tcPr>
          <w:p>
            <w:r/>
            <w:r>
              <w:rPr>
                <w:b w:val="0"/>
                <w:sz w:val="18"/>
              </w:rPr>
              <w:t>16.28%</w:t>
            </w:r>
          </w:p>
        </w:tc>
        <w:tc>
          <w:tcPr>
            <w:tcW w:type="dxa" w:w="1419"/>
            <w:vAlign w:val="center"/>
          </w:tcPr>
          <w:p>
            <w:r/>
            <w:r>
              <w:rPr>
                <w:b w:val="0"/>
                <w:sz w:val="18"/>
              </w:rPr>
              <w:t>26.12 min</w:t>
            </w:r>
          </w:p>
        </w:tc>
        <w:tc>
          <w:tcPr>
            <w:tcW w:type="dxa" w:w="1419"/>
            <w:vAlign w:val="center"/>
          </w:tcPr>
          <w:p>
            <w:r/>
            <w:r>
              <w:rPr>
                <w:b w:val="0"/>
                <w:sz w:val="18"/>
              </w:rPr>
              <w:t>26.0 min</w:t>
            </w:r>
          </w:p>
        </w:tc>
        <w:tc>
          <w:tcPr>
            <w:tcW w:type="dxa" w:w="1419"/>
            <w:vAlign w:val="center"/>
          </w:tcPr>
          <w:p>
            <w:r/>
            <w:r>
              <w:rPr>
                <w:b w:val="0"/>
                <w:sz w:val="18"/>
              </w:rPr>
              <w:t>8.62 min</w:t>
            </w:r>
          </w:p>
        </w:tc>
        <w:tc>
          <w:tcPr>
            <w:tcW w:type="dxa" w:w="1419"/>
            <w:vAlign w:val="center"/>
          </w:tcPr>
          <w:p>
            <w:r/>
            <w:r>
              <w:rPr>
                <w:b w:val="0"/>
                <w:sz w:val="18"/>
              </w:rPr>
              <w:t>20–31 min</w:t>
            </w:r>
          </w:p>
        </w:tc>
      </w:tr>
      <w:tr>
        <w:tc>
          <w:tcPr>
            <w:tcW w:type="dxa" w:w="1419"/>
            <w:vAlign w:val="center"/>
          </w:tcPr>
          <w:p>
            <w:r/>
            <w:r>
              <w:rPr>
                <w:b w:val="0"/>
                <w:sz w:val="18"/>
              </w:rPr>
              <w:t>Fog</w:t>
            </w:r>
          </w:p>
        </w:tc>
        <w:tc>
          <w:tcPr>
            <w:tcW w:type="dxa" w:w="1419"/>
            <w:vAlign w:val="center"/>
          </w:tcPr>
          <w:p>
            <w:r/>
            <w:r>
              <w:rPr>
                <w:b w:val="0"/>
                <w:sz w:val="18"/>
              </w:rPr>
              <w:t>7,654</w:t>
            </w:r>
          </w:p>
        </w:tc>
        <w:tc>
          <w:tcPr>
            <w:tcW w:type="dxa" w:w="1419"/>
            <w:vAlign w:val="center"/>
          </w:tcPr>
          <w:p>
            <w:r/>
            <w:r>
              <w:rPr>
                <w:b w:val="0"/>
                <w:sz w:val="18"/>
              </w:rPr>
              <w:t>16.79%</w:t>
            </w:r>
          </w:p>
        </w:tc>
        <w:tc>
          <w:tcPr>
            <w:tcW w:type="dxa" w:w="1419"/>
            <w:vAlign w:val="center"/>
          </w:tcPr>
          <w:p>
            <w:r/>
            <w:r>
              <w:rPr>
                <w:b w:val="0"/>
                <w:sz w:val="18"/>
              </w:rPr>
              <w:t>28.92 min</w:t>
            </w:r>
          </w:p>
        </w:tc>
        <w:tc>
          <w:tcPr>
            <w:tcW w:type="dxa" w:w="1419"/>
            <w:vAlign w:val="center"/>
          </w:tcPr>
          <w:p>
            <w:r/>
            <w:r>
              <w:rPr>
                <w:b w:val="0"/>
                <w:sz w:val="18"/>
              </w:rPr>
              <w:t>28.0 min</w:t>
            </w:r>
          </w:p>
        </w:tc>
        <w:tc>
          <w:tcPr>
            <w:tcW w:type="dxa" w:w="1419"/>
            <w:vAlign w:val="center"/>
          </w:tcPr>
          <w:p>
            <w:r/>
            <w:r>
              <w:rPr>
                <w:b w:val="0"/>
                <w:sz w:val="18"/>
              </w:rPr>
              <w:t>10.13 min</w:t>
            </w:r>
          </w:p>
        </w:tc>
        <w:tc>
          <w:tcPr>
            <w:tcW w:type="dxa" w:w="1419"/>
            <w:vAlign w:val="center"/>
          </w:tcPr>
          <w:p>
            <w:r/>
            <w:r>
              <w:rPr>
                <w:b w:val="0"/>
                <w:sz w:val="18"/>
              </w:rPr>
              <w:t>20–37 min</w:t>
            </w:r>
          </w:p>
        </w:tc>
      </w:tr>
      <w:tr>
        <w:tc>
          <w:tcPr>
            <w:tcW w:type="dxa" w:w="1419"/>
            <w:vAlign w:val="center"/>
          </w:tcPr>
          <w:p>
            <w:r/>
            <w:r>
              <w:rPr>
                <w:b w:val="0"/>
                <w:sz w:val="18"/>
              </w:rPr>
              <w:t>Cloudy</w:t>
            </w:r>
          </w:p>
        </w:tc>
        <w:tc>
          <w:tcPr>
            <w:tcW w:type="dxa" w:w="1419"/>
            <w:vAlign w:val="center"/>
          </w:tcPr>
          <w:p>
            <w:r/>
            <w:r>
              <w:rPr>
                <w:b w:val="0"/>
                <w:sz w:val="18"/>
              </w:rPr>
              <w:t>7,536</w:t>
            </w:r>
          </w:p>
        </w:tc>
        <w:tc>
          <w:tcPr>
            <w:tcW w:type="dxa" w:w="1419"/>
            <w:vAlign w:val="center"/>
          </w:tcPr>
          <w:p>
            <w:r/>
            <w:r>
              <w:rPr>
                <w:b w:val="0"/>
                <w:sz w:val="18"/>
              </w:rPr>
              <w:t>16.53%</w:t>
            </w:r>
          </w:p>
        </w:tc>
        <w:tc>
          <w:tcPr>
            <w:tcW w:type="dxa" w:w="1419"/>
            <w:vAlign w:val="center"/>
          </w:tcPr>
          <w:p>
            <w:r/>
            <w:r>
              <w:rPr>
                <w:b w:val="0"/>
                <w:sz w:val="18"/>
              </w:rPr>
              <w:t>28.92 min</w:t>
            </w:r>
          </w:p>
        </w:tc>
        <w:tc>
          <w:tcPr>
            <w:tcW w:type="dxa" w:w="1419"/>
            <w:vAlign w:val="center"/>
          </w:tcPr>
          <w:p>
            <w:r/>
            <w:r>
              <w:rPr>
                <w:b w:val="0"/>
                <w:sz w:val="18"/>
              </w:rPr>
              <w:t>28.0 min</w:t>
            </w:r>
          </w:p>
        </w:tc>
        <w:tc>
          <w:tcPr>
            <w:tcW w:type="dxa" w:w="1419"/>
            <w:vAlign w:val="center"/>
          </w:tcPr>
          <w:p>
            <w:r/>
            <w:r>
              <w:rPr>
                <w:b w:val="0"/>
                <w:sz w:val="18"/>
              </w:rPr>
              <w:t>10.08 min</w:t>
            </w:r>
          </w:p>
        </w:tc>
        <w:tc>
          <w:tcPr>
            <w:tcW w:type="dxa" w:w="1419"/>
            <w:vAlign w:val="center"/>
          </w:tcPr>
          <w:p>
            <w:r/>
            <w:r>
              <w:rPr>
                <w:b w:val="0"/>
                <w:sz w:val="18"/>
              </w:rPr>
              <w:t>20–37 min</w:t>
            </w:r>
          </w:p>
        </w:tc>
      </w:tr>
    </w:tbl>
    <w:p/>
    <w:p>
      <w:r>
        <w:t>Empirical observation: Sunny conditions had the lowest reported average delivery time at 21.86 minutes. Fog and Cloudy conditions had the highest averages at 28.92 minutes each, an observed difference of 7.06 minutes (32.3%) compared with Sunny conditions.</w:t>
      </w:r>
    </w:p>
    <w:p>
      <w:r>
        <w:t>Interpretation limitation: The dataset supports an association between weather categories and observed delivery duration, but not a standalone causal conclusion. Other operational factors may occur at the same time.</w:t>
      </w:r>
    </w:p>
    <w:p>
      <w:pPr>
        <w:pStyle w:val="Heading2"/>
      </w:pPr>
      <w:r>
        <w:t>5.4 Visualization 4 — Distance vs Delivery Time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Metric</w:t>
            </w:r>
          </w:p>
        </w:tc>
        <w:tc>
          <w:tcPr>
            <w:tcW w:type="dxa" w:w="4968"/>
            <w:vAlign w:val="center"/>
            <w:shd w:fill="D9EAF7"/>
          </w:tcPr>
          <w:p>
            <w:r/>
            <w:r>
              <w:rPr>
                <w:b/>
                <w:sz w:val="18"/>
              </w:rPr>
              <w:t>Value</w:t>
            </w:r>
          </w:p>
        </w:tc>
      </w:tr>
      <w:tr>
        <w:tc>
          <w:tcPr>
            <w:tcW w:type="dxa" w:w="4968"/>
            <w:vAlign w:val="center"/>
          </w:tcPr>
          <w:p>
            <w:r/>
            <w:r>
              <w:rPr>
                <w:b w:val="0"/>
                <w:sz w:val="18"/>
              </w:rPr>
              <w:t>Pearson correlation (r)</w:t>
            </w:r>
          </w:p>
        </w:tc>
        <w:tc>
          <w:tcPr>
            <w:tcW w:type="dxa" w:w="4968"/>
            <w:vAlign w:val="center"/>
          </w:tcPr>
          <w:p>
            <w:r/>
            <w:r>
              <w:rPr>
                <w:b w:val="0"/>
                <w:sz w:val="18"/>
              </w:rPr>
              <w:t>+0.3074</w:t>
            </w:r>
          </w:p>
        </w:tc>
      </w:tr>
      <w:tr>
        <w:tc>
          <w:tcPr>
            <w:tcW w:type="dxa" w:w="4968"/>
            <w:vAlign w:val="center"/>
          </w:tcPr>
          <w:p>
            <w:r/>
            <w:r>
              <w:rPr>
                <w:b w:val="0"/>
                <w:sz w:val="18"/>
              </w:rPr>
              <w:t>Spearman correlation (ρ)</w:t>
            </w:r>
          </w:p>
        </w:tc>
        <w:tc>
          <w:tcPr>
            <w:tcW w:type="dxa" w:w="4968"/>
            <w:vAlign w:val="center"/>
          </w:tcPr>
          <w:p>
            <w:r/>
            <w:r>
              <w:rPr>
                <w:b w:val="0"/>
                <w:sz w:val="18"/>
              </w:rPr>
              <w:t>+0.3100</w:t>
            </w:r>
          </w:p>
        </w:tc>
      </w:tr>
      <w:tr>
        <w:tc>
          <w:tcPr>
            <w:tcW w:type="dxa" w:w="4968"/>
            <w:vAlign w:val="center"/>
          </w:tcPr>
          <w:p>
            <w:r/>
            <w:r>
              <w:rPr>
                <w:b w:val="0"/>
                <w:sz w:val="18"/>
              </w:rPr>
              <w:t>Mean distance</w:t>
            </w:r>
          </w:p>
        </w:tc>
        <w:tc>
          <w:tcPr>
            <w:tcW w:type="dxa" w:w="4968"/>
            <w:vAlign w:val="center"/>
          </w:tcPr>
          <w:p>
            <w:r/>
            <w:r>
              <w:rPr>
                <w:b w:val="0"/>
                <w:sz w:val="18"/>
              </w:rPr>
              <w:t>9.68 km</w:t>
            </w:r>
          </w:p>
        </w:tc>
      </w:tr>
      <w:tr>
        <w:tc>
          <w:tcPr>
            <w:tcW w:type="dxa" w:w="4968"/>
            <w:vAlign w:val="center"/>
          </w:tcPr>
          <w:p>
            <w:r/>
            <w:r>
              <w:rPr>
                <w:b w:val="0"/>
                <w:sz w:val="18"/>
              </w:rPr>
              <w:t>Median distance</w:t>
            </w:r>
          </w:p>
        </w:tc>
        <w:tc>
          <w:tcPr>
            <w:tcW w:type="dxa" w:w="4968"/>
            <w:vAlign w:val="center"/>
          </w:tcPr>
          <w:p>
            <w:r/>
            <w:r>
              <w:rPr>
                <w:b w:val="0"/>
                <w:sz w:val="18"/>
              </w:rPr>
              <w:t>9.19 km</w:t>
            </w:r>
          </w:p>
        </w:tc>
      </w:tr>
      <w:tr>
        <w:tc>
          <w:tcPr>
            <w:tcW w:type="dxa" w:w="4968"/>
            <w:vAlign w:val="center"/>
          </w:tcPr>
          <w:p>
            <w:r/>
            <w:r>
              <w:rPr>
                <w:b w:val="0"/>
                <w:sz w:val="18"/>
              </w:rPr>
              <w:t>Observed distance range</w:t>
            </w:r>
          </w:p>
        </w:tc>
        <w:tc>
          <w:tcPr>
            <w:tcW w:type="dxa" w:w="4968"/>
            <w:vAlign w:val="center"/>
          </w:tcPr>
          <w:p>
            <w:r/>
            <w:r>
              <w:rPr>
                <w:b w:val="0"/>
                <w:sz w:val="18"/>
              </w:rPr>
              <w:t>1.47–20.97 km</w:t>
            </w:r>
          </w:p>
        </w:tc>
      </w:tr>
      <w:tr>
        <w:tc>
          <w:tcPr>
            <w:tcW w:type="dxa" w:w="4968"/>
            <w:vAlign w:val="center"/>
          </w:tcPr>
          <w:p>
            <w:r/>
            <w:r>
              <w:rPr>
                <w:b w:val="0"/>
                <w:sz w:val="18"/>
              </w:rPr>
              <w:t>Approx. R² from Pearson r</w:t>
            </w:r>
          </w:p>
        </w:tc>
        <w:tc>
          <w:tcPr>
            <w:tcW w:type="dxa" w:w="4968"/>
            <w:vAlign w:val="center"/>
          </w:tcPr>
          <w:p>
            <w:r/>
            <w:r>
              <w:rPr>
                <w:b w:val="0"/>
                <w:sz w:val="18"/>
              </w:rPr>
              <w:t>0.095</w:t>
            </w:r>
          </w:p>
        </w:tc>
      </w:tr>
    </w:tbl>
    <w:p/>
    <w:p>
      <w:r>
        <w:t>Empirical observation: The relationship is positive: greater estimated delivery distance is generally associated with longer observed delivery duration. The correlation is moderate at approximately 0.31. A simple squared-correlation interpretation gives about 9.5% of variation associated with this single linear relationship.</w:t>
      </w:r>
    </w:p>
    <w:p>
      <w:r>
        <w:t>Limitation: Delivery_Distance_KM is a Haversine straight-line estimate. It does not capture actual road-network distance, one-way roads, physical barriers, elevation, or route choice. Correlation does not establish that distance alone causes the observed delivery-time variation.</w:t>
      </w:r>
    </w:p>
    <w:p>
      <w:pPr>
        <w:pStyle w:val="Heading2"/>
      </w:pPr>
      <w:r>
        <w:t>5.5 Visualization 5 — Time &amp; Day Patterns</w:t>
      </w:r>
    </w:p>
    <w:p>
      <w:pPr>
        <w:pStyle w:val="Heading3"/>
      </w:pPr>
      <w:r>
        <w:t>5.5.1 Order-hour patterns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Period</w:t>
            </w:r>
          </w:p>
        </w:tc>
        <w:tc>
          <w:tcPr>
            <w:tcW w:type="dxa" w:w="4968"/>
            <w:vAlign w:val="center"/>
            <w:shd w:fill="D9EAF7"/>
          </w:tcPr>
          <w:p>
            <w:r/>
            <w:r>
              <w:rPr>
                <w:b/>
                <w:sz w:val="18"/>
              </w:rPr>
              <w:t>Observed pattern</w:t>
            </w:r>
          </w:p>
        </w:tc>
      </w:tr>
      <w:tr>
        <w:tc>
          <w:tcPr>
            <w:tcW w:type="dxa" w:w="4968"/>
            <w:vAlign w:val="center"/>
          </w:tcPr>
          <w:p>
            <w:r/>
            <w:r>
              <w:rPr>
                <w:b w:val="0"/>
                <w:sz w:val="18"/>
              </w:rPr>
              <w:t>08:00–10:00</w:t>
            </w:r>
          </w:p>
        </w:tc>
        <w:tc>
          <w:tcPr>
            <w:tcW w:type="dxa" w:w="4968"/>
            <w:vAlign w:val="center"/>
          </w:tcPr>
          <w:p>
            <w:r/>
            <w:r>
              <w:rPr>
                <w:b w:val="0"/>
                <w:sz w:val="18"/>
              </w:rPr>
              <w:t>Low volume (~1,900–2,050 orders/hour); mean delivery time 19.08–19.64 min.</w:t>
            </w:r>
          </w:p>
        </w:tc>
      </w:tr>
      <w:tr>
        <w:tc>
          <w:tcPr>
            <w:tcW w:type="dxa" w:w="4968"/>
            <w:vAlign w:val="center"/>
          </w:tcPr>
          <w:p>
            <w:r/>
            <w:r>
              <w:rPr>
                <w:b w:val="0"/>
                <w:sz w:val="18"/>
              </w:rPr>
              <w:t>11:00–14:00</w:t>
            </w:r>
          </w:p>
        </w:tc>
        <w:tc>
          <w:tcPr>
            <w:tcW w:type="dxa" w:w="4968"/>
            <w:vAlign w:val="center"/>
          </w:tcPr>
          <w:p>
            <w:r/>
            <w:r>
              <w:rPr>
                <w:b w:val="0"/>
                <w:sz w:val="18"/>
              </w:rPr>
              <w:t>Midday surge; mean delivery time 26.45–27.58 min.</w:t>
            </w:r>
          </w:p>
        </w:tc>
      </w:tr>
      <w:tr>
        <w:tc>
          <w:tcPr>
            <w:tcW w:type="dxa" w:w="4968"/>
            <w:vAlign w:val="center"/>
          </w:tcPr>
          <w:p>
            <w:r/>
            <w:r>
              <w:rPr>
                <w:b w:val="0"/>
                <w:sz w:val="18"/>
              </w:rPr>
              <w:t>17:00–21:00</w:t>
            </w:r>
          </w:p>
        </w:tc>
        <w:tc>
          <w:tcPr>
            <w:tcW w:type="dxa" w:w="4968"/>
            <w:vAlign w:val="center"/>
          </w:tcPr>
          <w:p>
            <w:r/>
            <w:r>
              <w:rPr>
                <w:b w:val="0"/>
                <w:sz w:val="18"/>
              </w:rPr>
              <w:t>Primary operational peak; 4,460–4,872 orders/hour; mean 30.81–31.24 min at 19:00–21:00.</w:t>
            </w:r>
          </w:p>
        </w:tc>
      </w:tr>
      <w:tr>
        <w:tc>
          <w:tcPr>
            <w:tcW w:type="dxa" w:w="4968"/>
            <w:vAlign w:val="center"/>
          </w:tcPr>
          <w:p>
            <w:r/>
            <w:r>
              <w:rPr>
                <w:b w:val="0"/>
                <w:sz w:val="18"/>
              </w:rPr>
              <w:t>22:00–23:00</w:t>
            </w:r>
          </w:p>
        </w:tc>
        <w:tc>
          <w:tcPr>
            <w:tcW w:type="dxa" w:w="4968"/>
            <w:vAlign w:val="center"/>
          </w:tcPr>
          <w:p>
            <w:r/>
            <w:r>
              <w:rPr>
                <w:b w:val="0"/>
                <w:sz w:val="18"/>
              </w:rPr>
              <w:t>Volume remains high (~4,500–4,750/hour); mean delivery time falls to 22.45–23.16 min.</w:t>
            </w:r>
          </w:p>
        </w:tc>
      </w:tr>
    </w:tbl>
    <w:p/>
    <w:p>
      <w:r>
        <w:t>The supplied analysis reports that 19:00, 20:00 and 21:00 account for 31.5% of daily dispatches and record the highest delivery times of the day.</w:t>
      </w:r>
    </w:p>
    <w:p>
      <w:pPr>
        <w:pStyle w:val="Heading3"/>
      </w:pPr>
      <w:r>
        <w:t>5.5.2 Day-of-week patterns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Day</w:t>
            </w:r>
          </w:p>
        </w:tc>
        <w:tc>
          <w:tcPr>
            <w:tcW w:type="dxa" w:w="1656"/>
            <w:vAlign w:val="center"/>
            <w:shd w:fill="D9EAF7"/>
          </w:tcPr>
          <w:p>
            <w:r/>
            <w:r>
              <w:rPr>
                <w:b/>
                <w:sz w:val="18"/>
              </w:rPr>
              <w:t>N</w:t>
            </w:r>
          </w:p>
        </w:tc>
        <w:tc>
          <w:tcPr>
            <w:tcW w:type="dxa" w:w="1656"/>
            <w:vAlign w:val="center"/>
            <w:shd w:fill="D9EAF7"/>
          </w:tcPr>
          <w:p>
            <w:r/>
            <w:r>
              <w:rPr>
                <w:b/>
                <w:sz w:val="18"/>
              </w:rPr>
              <w:t>Share</w:t>
            </w:r>
          </w:p>
        </w:tc>
        <w:tc>
          <w:tcPr>
            <w:tcW w:type="dxa" w:w="1656"/>
            <w:vAlign w:val="center"/>
            <w:shd w:fill="D9EAF7"/>
          </w:tcPr>
          <w:p>
            <w:r/>
            <w:r>
              <w:rPr>
                <w:b/>
                <w:sz w:val="18"/>
              </w:rPr>
              <w:t>Mean</w:t>
            </w:r>
          </w:p>
        </w:tc>
        <w:tc>
          <w:tcPr>
            <w:tcW w:type="dxa" w:w="1656"/>
            <w:vAlign w:val="center"/>
            <w:shd w:fill="D9EAF7"/>
          </w:tcPr>
          <w:p>
            <w:r/>
            <w:r>
              <w:rPr>
                <w:b/>
                <w:sz w:val="18"/>
              </w:rPr>
              <w:t>Median</w:t>
            </w:r>
          </w:p>
        </w:tc>
        <w:tc>
          <w:tcPr>
            <w:tcW w:type="dxa" w:w="1656"/>
            <w:vAlign w:val="center"/>
            <w:shd w:fill="D9EAF7"/>
          </w:tcPr>
          <w:p>
            <w:r/>
            <w:r>
              <w:rPr>
                <w:b/>
                <w:sz w:val="18"/>
              </w:rPr>
              <w:t>Std. Dev.</w:t>
            </w:r>
          </w:p>
        </w:tc>
      </w:tr>
      <w:tr>
        <w:tc>
          <w:tcPr>
            <w:tcW w:type="dxa" w:w="1656"/>
            <w:vAlign w:val="center"/>
          </w:tcPr>
          <w:p>
            <w:r/>
            <w:r>
              <w:rPr>
                <w:b w:val="0"/>
                <w:sz w:val="18"/>
              </w:rPr>
              <w:t>Monday</w:t>
            </w:r>
          </w:p>
        </w:tc>
        <w:tc>
          <w:tcPr>
            <w:tcW w:type="dxa" w:w="1656"/>
            <w:vAlign w:val="center"/>
          </w:tcPr>
          <w:p>
            <w:r/>
            <w:r>
              <w:rPr>
                <w:b w:val="0"/>
                <w:sz w:val="18"/>
              </w:rPr>
              <w:t>6,207</w:t>
            </w:r>
          </w:p>
        </w:tc>
        <w:tc>
          <w:tcPr>
            <w:tcW w:type="dxa" w:w="1656"/>
            <w:vAlign w:val="center"/>
          </w:tcPr>
          <w:p>
            <w:r/>
            <w:r>
              <w:rPr>
                <w:b w:val="0"/>
                <w:sz w:val="18"/>
              </w:rPr>
              <w:t>13.61%</w:t>
            </w:r>
          </w:p>
        </w:tc>
        <w:tc>
          <w:tcPr>
            <w:tcW w:type="dxa" w:w="1656"/>
            <w:vAlign w:val="center"/>
          </w:tcPr>
          <w:p>
            <w:r/>
            <w:r>
              <w:rPr>
                <w:b w:val="0"/>
                <w:sz w:val="18"/>
              </w:rPr>
              <w:t>26.25 min</w:t>
            </w:r>
          </w:p>
        </w:tc>
        <w:tc>
          <w:tcPr>
            <w:tcW w:type="dxa" w:w="1656"/>
            <w:vAlign w:val="center"/>
          </w:tcPr>
          <w:p>
            <w:r/>
            <w:r>
              <w:rPr>
                <w:b w:val="0"/>
                <w:sz w:val="18"/>
              </w:rPr>
              <w:t>25.0 min</w:t>
            </w:r>
          </w:p>
        </w:tc>
        <w:tc>
          <w:tcPr>
            <w:tcW w:type="dxa" w:w="1656"/>
            <w:vAlign w:val="center"/>
          </w:tcPr>
          <w:p>
            <w:r/>
            <w:r>
              <w:rPr>
                <w:b w:val="0"/>
                <w:sz w:val="18"/>
              </w:rPr>
              <w:t>9.38 min</w:t>
            </w:r>
          </w:p>
        </w:tc>
      </w:tr>
      <w:tr>
        <w:tc>
          <w:tcPr>
            <w:tcW w:type="dxa" w:w="1656"/>
            <w:vAlign w:val="center"/>
          </w:tcPr>
          <w:p>
            <w:r/>
            <w:r>
              <w:rPr>
                <w:b w:val="0"/>
                <w:sz w:val="18"/>
              </w:rPr>
              <w:t>Tuesday</w:t>
            </w:r>
          </w:p>
        </w:tc>
        <w:tc>
          <w:tcPr>
            <w:tcW w:type="dxa" w:w="1656"/>
            <w:vAlign w:val="center"/>
          </w:tcPr>
          <w:p>
            <w:r/>
            <w:r>
              <w:rPr>
                <w:b w:val="0"/>
                <w:sz w:val="18"/>
              </w:rPr>
              <w:t>6,375</w:t>
            </w:r>
          </w:p>
        </w:tc>
        <w:tc>
          <w:tcPr>
            <w:tcW w:type="dxa" w:w="1656"/>
            <w:vAlign w:val="center"/>
          </w:tcPr>
          <w:p>
            <w:r/>
            <w:r>
              <w:rPr>
                <w:b w:val="0"/>
                <w:sz w:val="18"/>
              </w:rPr>
              <w:t>13.98%</w:t>
            </w:r>
          </w:p>
        </w:tc>
        <w:tc>
          <w:tcPr>
            <w:tcW w:type="dxa" w:w="1656"/>
            <w:vAlign w:val="center"/>
          </w:tcPr>
          <w:p>
            <w:r/>
            <w:r>
              <w:rPr>
                <w:b w:val="0"/>
                <w:sz w:val="18"/>
              </w:rPr>
              <w:t>25.32 min</w:t>
            </w:r>
          </w:p>
        </w:tc>
        <w:tc>
          <w:tcPr>
            <w:tcW w:type="dxa" w:w="1656"/>
            <w:vAlign w:val="center"/>
          </w:tcPr>
          <w:p>
            <w:r/>
            <w:r>
              <w:rPr>
                <w:b w:val="0"/>
                <w:sz w:val="18"/>
              </w:rPr>
              <w:t>25.0 min</w:t>
            </w:r>
          </w:p>
        </w:tc>
        <w:tc>
          <w:tcPr>
            <w:tcW w:type="dxa" w:w="1656"/>
            <w:vAlign w:val="center"/>
          </w:tcPr>
          <w:p>
            <w:r/>
            <w:r>
              <w:rPr>
                <w:b w:val="0"/>
                <w:sz w:val="18"/>
              </w:rPr>
              <w:t>9.21 min</w:t>
            </w:r>
          </w:p>
        </w:tc>
      </w:tr>
      <w:tr>
        <w:tc>
          <w:tcPr>
            <w:tcW w:type="dxa" w:w="1656"/>
            <w:vAlign w:val="center"/>
          </w:tcPr>
          <w:p>
            <w:r/>
            <w:r>
              <w:rPr>
                <w:b w:val="0"/>
                <w:sz w:val="18"/>
              </w:rPr>
              <w:t>Wednesday</w:t>
            </w:r>
          </w:p>
        </w:tc>
        <w:tc>
          <w:tcPr>
            <w:tcW w:type="dxa" w:w="1656"/>
            <w:vAlign w:val="center"/>
          </w:tcPr>
          <w:p>
            <w:r/>
            <w:r>
              <w:rPr>
                <w:b w:val="0"/>
                <w:sz w:val="18"/>
              </w:rPr>
              <w:t>7,093</w:t>
            </w:r>
          </w:p>
        </w:tc>
        <w:tc>
          <w:tcPr>
            <w:tcW w:type="dxa" w:w="1656"/>
            <w:vAlign w:val="center"/>
          </w:tcPr>
          <w:p>
            <w:r/>
            <w:r>
              <w:rPr>
                <w:b w:val="0"/>
                <w:sz w:val="18"/>
              </w:rPr>
              <w:t>15.56%</w:t>
            </w:r>
          </w:p>
        </w:tc>
        <w:tc>
          <w:tcPr>
            <w:tcW w:type="dxa" w:w="1656"/>
            <w:vAlign w:val="center"/>
          </w:tcPr>
          <w:p>
            <w:r/>
            <w:r>
              <w:rPr>
                <w:b w:val="0"/>
                <w:sz w:val="18"/>
              </w:rPr>
              <w:t>27.76 min</w:t>
            </w:r>
          </w:p>
        </w:tc>
        <w:tc>
          <w:tcPr>
            <w:tcW w:type="dxa" w:w="1656"/>
            <w:vAlign w:val="center"/>
          </w:tcPr>
          <w:p>
            <w:r/>
            <w:r>
              <w:rPr>
                <w:b w:val="0"/>
                <w:sz w:val="18"/>
              </w:rPr>
              <w:t>27.0 min</w:t>
            </w:r>
          </w:p>
        </w:tc>
        <w:tc>
          <w:tcPr>
            <w:tcW w:type="dxa" w:w="1656"/>
            <w:vAlign w:val="center"/>
          </w:tcPr>
          <w:p>
            <w:r/>
            <w:r>
              <w:rPr>
                <w:b w:val="0"/>
                <w:sz w:val="18"/>
              </w:rPr>
              <w:t>9.64 min</w:t>
            </w:r>
          </w:p>
        </w:tc>
      </w:tr>
      <w:tr>
        <w:tc>
          <w:tcPr>
            <w:tcW w:type="dxa" w:w="1656"/>
            <w:vAlign w:val="center"/>
          </w:tcPr>
          <w:p>
            <w:r/>
            <w:r>
              <w:rPr>
                <w:b w:val="0"/>
                <w:sz w:val="18"/>
              </w:rPr>
              <w:t>Thursday</w:t>
            </w:r>
          </w:p>
        </w:tc>
        <w:tc>
          <w:tcPr>
            <w:tcW w:type="dxa" w:w="1656"/>
            <w:vAlign w:val="center"/>
          </w:tcPr>
          <w:p>
            <w:r/>
            <w:r>
              <w:rPr>
                <w:b w:val="0"/>
                <w:sz w:val="18"/>
              </w:rPr>
              <w:t>6,348</w:t>
            </w:r>
          </w:p>
        </w:tc>
        <w:tc>
          <w:tcPr>
            <w:tcW w:type="dxa" w:w="1656"/>
            <w:vAlign w:val="center"/>
          </w:tcPr>
          <w:p>
            <w:r/>
            <w:r>
              <w:rPr>
                <w:b w:val="0"/>
                <w:sz w:val="18"/>
              </w:rPr>
              <w:t>13.92%</w:t>
            </w:r>
          </w:p>
        </w:tc>
        <w:tc>
          <w:tcPr>
            <w:tcW w:type="dxa" w:w="1656"/>
            <w:vAlign w:val="center"/>
          </w:tcPr>
          <w:p>
            <w:r/>
            <w:r>
              <w:rPr>
                <w:b w:val="0"/>
                <w:sz w:val="18"/>
              </w:rPr>
              <w:t>25.18 min</w:t>
            </w:r>
          </w:p>
        </w:tc>
        <w:tc>
          <w:tcPr>
            <w:tcW w:type="dxa" w:w="1656"/>
            <w:vAlign w:val="center"/>
          </w:tcPr>
          <w:p>
            <w:r/>
            <w:r>
              <w:rPr>
                <w:b w:val="0"/>
                <w:sz w:val="18"/>
              </w:rPr>
              <w:t>25.0 min</w:t>
            </w:r>
          </w:p>
        </w:tc>
        <w:tc>
          <w:tcPr>
            <w:tcW w:type="dxa" w:w="1656"/>
            <w:vAlign w:val="center"/>
          </w:tcPr>
          <w:p>
            <w:r/>
            <w:r>
              <w:rPr>
                <w:b w:val="0"/>
                <w:sz w:val="18"/>
              </w:rPr>
              <w:t>9.15 min</w:t>
            </w:r>
          </w:p>
        </w:tc>
      </w:tr>
      <w:tr>
        <w:tc>
          <w:tcPr>
            <w:tcW w:type="dxa" w:w="1656"/>
            <w:vAlign w:val="center"/>
          </w:tcPr>
          <w:p>
            <w:r/>
            <w:r>
              <w:rPr>
                <w:b w:val="0"/>
                <w:sz w:val="18"/>
              </w:rPr>
              <w:t>Friday</w:t>
            </w:r>
          </w:p>
        </w:tc>
        <w:tc>
          <w:tcPr>
            <w:tcW w:type="dxa" w:w="1656"/>
            <w:vAlign w:val="center"/>
          </w:tcPr>
          <w:p>
            <w:r/>
            <w:r>
              <w:rPr>
                <w:b w:val="0"/>
                <w:sz w:val="18"/>
              </w:rPr>
              <w:t>7,031</w:t>
            </w:r>
          </w:p>
        </w:tc>
        <w:tc>
          <w:tcPr>
            <w:tcW w:type="dxa" w:w="1656"/>
            <w:vAlign w:val="center"/>
          </w:tcPr>
          <w:p>
            <w:r/>
            <w:r>
              <w:rPr>
                <w:b w:val="0"/>
                <w:sz w:val="18"/>
              </w:rPr>
              <w:t>15.42%</w:t>
            </w:r>
          </w:p>
        </w:tc>
        <w:tc>
          <w:tcPr>
            <w:tcW w:type="dxa" w:w="1656"/>
            <w:vAlign w:val="center"/>
          </w:tcPr>
          <w:p>
            <w:r/>
            <w:r>
              <w:rPr>
                <w:b w:val="0"/>
                <w:sz w:val="18"/>
              </w:rPr>
              <w:t>26.82 min</w:t>
            </w:r>
          </w:p>
        </w:tc>
        <w:tc>
          <w:tcPr>
            <w:tcW w:type="dxa" w:w="1656"/>
            <w:vAlign w:val="center"/>
          </w:tcPr>
          <w:p>
            <w:r/>
            <w:r>
              <w:rPr>
                <w:b w:val="0"/>
                <w:sz w:val="18"/>
              </w:rPr>
              <w:t>26.0 min</w:t>
            </w:r>
          </w:p>
        </w:tc>
        <w:tc>
          <w:tcPr>
            <w:tcW w:type="dxa" w:w="1656"/>
            <w:vAlign w:val="center"/>
          </w:tcPr>
          <w:p>
            <w:r/>
            <w:r>
              <w:rPr>
                <w:b w:val="0"/>
                <w:sz w:val="18"/>
              </w:rPr>
              <w:t>9.45 min</w:t>
            </w:r>
          </w:p>
        </w:tc>
      </w:tr>
      <w:tr>
        <w:tc>
          <w:tcPr>
            <w:tcW w:type="dxa" w:w="1656"/>
            <w:vAlign w:val="center"/>
          </w:tcPr>
          <w:p>
            <w:r/>
            <w:r>
              <w:rPr>
                <w:b w:val="0"/>
                <w:sz w:val="18"/>
              </w:rPr>
              <w:t>Saturday</w:t>
            </w:r>
          </w:p>
        </w:tc>
        <w:tc>
          <w:tcPr>
            <w:tcW w:type="dxa" w:w="1656"/>
            <w:vAlign w:val="center"/>
          </w:tcPr>
          <w:p>
            <w:r/>
            <w:r>
              <w:rPr>
                <w:b w:val="0"/>
                <w:sz w:val="18"/>
              </w:rPr>
              <w:t>6,290</w:t>
            </w:r>
          </w:p>
        </w:tc>
        <w:tc>
          <w:tcPr>
            <w:tcW w:type="dxa" w:w="1656"/>
            <w:vAlign w:val="center"/>
          </w:tcPr>
          <w:p>
            <w:r/>
            <w:r>
              <w:rPr>
                <w:b w:val="0"/>
                <w:sz w:val="18"/>
              </w:rPr>
              <w:t>13.80%</w:t>
            </w:r>
          </w:p>
        </w:tc>
        <w:tc>
          <w:tcPr>
            <w:tcW w:type="dxa" w:w="1656"/>
            <w:vAlign w:val="center"/>
          </w:tcPr>
          <w:p>
            <w:r/>
            <w:r>
              <w:rPr>
                <w:b w:val="0"/>
                <w:sz w:val="18"/>
              </w:rPr>
              <w:t>26.10 min</w:t>
            </w:r>
          </w:p>
        </w:tc>
        <w:tc>
          <w:tcPr>
            <w:tcW w:type="dxa" w:w="1656"/>
            <w:vAlign w:val="center"/>
          </w:tcPr>
          <w:p>
            <w:r/>
            <w:r>
              <w:rPr>
                <w:b w:val="0"/>
                <w:sz w:val="18"/>
              </w:rPr>
              <w:t>25.5 min</w:t>
            </w:r>
          </w:p>
        </w:tc>
        <w:tc>
          <w:tcPr>
            <w:tcW w:type="dxa" w:w="1656"/>
            <w:vAlign w:val="center"/>
          </w:tcPr>
          <w:p>
            <w:r/>
            <w:r>
              <w:rPr>
                <w:b w:val="0"/>
                <w:sz w:val="18"/>
              </w:rPr>
              <w:t>9.43 min</w:t>
            </w:r>
          </w:p>
        </w:tc>
      </w:tr>
      <w:tr>
        <w:tc>
          <w:tcPr>
            <w:tcW w:type="dxa" w:w="1656"/>
            <w:vAlign w:val="center"/>
          </w:tcPr>
          <w:p>
            <w:r/>
            <w:r>
              <w:rPr>
                <w:b w:val="0"/>
                <w:sz w:val="18"/>
              </w:rPr>
              <w:t>Sunday</w:t>
            </w:r>
          </w:p>
        </w:tc>
        <w:tc>
          <w:tcPr>
            <w:tcW w:type="dxa" w:w="1656"/>
            <w:vAlign w:val="center"/>
          </w:tcPr>
          <w:p>
            <w:r/>
            <w:r>
              <w:rPr>
                <w:b w:val="0"/>
                <w:sz w:val="18"/>
              </w:rPr>
              <w:t>6,249</w:t>
            </w:r>
          </w:p>
        </w:tc>
        <w:tc>
          <w:tcPr>
            <w:tcW w:type="dxa" w:w="1656"/>
            <w:vAlign w:val="center"/>
          </w:tcPr>
          <w:p>
            <w:r/>
            <w:r>
              <w:rPr>
                <w:b w:val="0"/>
                <w:sz w:val="18"/>
              </w:rPr>
              <w:t>13.71%</w:t>
            </w:r>
          </w:p>
        </w:tc>
        <w:tc>
          <w:tcPr>
            <w:tcW w:type="dxa" w:w="1656"/>
            <w:vAlign w:val="center"/>
          </w:tcPr>
          <w:p>
            <w:r/>
            <w:r>
              <w:rPr>
                <w:b w:val="0"/>
                <w:sz w:val="18"/>
              </w:rPr>
              <w:t>26.40 min</w:t>
            </w:r>
          </w:p>
        </w:tc>
        <w:tc>
          <w:tcPr>
            <w:tcW w:type="dxa" w:w="1656"/>
            <w:vAlign w:val="center"/>
          </w:tcPr>
          <w:p>
            <w:r/>
            <w:r>
              <w:rPr>
                <w:b w:val="0"/>
                <w:sz w:val="18"/>
              </w:rPr>
              <w:t>25.0 min</w:t>
            </w:r>
          </w:p>
        </w:tc>
        <w:tc>
          <w:tcPr>
            <w:tcW w:type="dxa" w:w="1656"/>
            <w:vAlign w:val="center"/>
          </w:tcPr>
          <w:p>
            <w:r/>
            <w:r>
              <w:rPr>
                <w:b w:val="0"/>
                <w:sz w:val="18"/>
              </w:rPr>
              <w:t>9.39 min</w:t>
            </w:r>
          </w:p>
        </w:tc>
      </w:tr>
    </w:tbl>
    <w:p/>
    <w:p>
      <w:r>
        <w:t>The supplied analysis reports Wednesday as having both the highest order volume (7,093) and the longest average delivery duration (27.76 minutes), while Thursday has the shortest average (25.18 minutes).</w:t>
      </w:r>
    </w:p>
    <w:p>
      <w:pPr>
        <w:pStyle w:val="Heading3"/>
      </w:pPr>
      <w:r>
        <w:t>5.5.3 Weekday vs weekend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Cohort</w:t>
            </w:r>
          </w:p>
        </w:tc>
        <w:tc>
          <w:tcPr>
            <w:tcW w:type="dxa" w:w="1656"/>
            <w:vAlign w:val="center"/>
            <w:shd w:fill="D9EAF7"/>
          </w:tcPr>
          <w:p>
            <w:r/>
            <w:r>
              <w:rPr>
                <w:b/>
                <w:sz w:val="18"/>
              </w:rPr>
              <w:t>N</w:t>
            </w:r>
          </w:p>
        </w:tc>
        <w:tc>
          <w:tcPr>
            <w:tcW w:type="dxa" w:w="1656"/>
            <w:vAlign w:val="center"/>
            <w:shd w:fill="D9EAF7"/>
          </w:tcPr>
          <w:p>
            <w:r/>
            <w:r>
              <w:rPr>
                <w:b/>
                <w:sz w:val="18"/>
              </w:rPr>
              <w:t>Share</w:t>
            </w:r>
          </w:p>
        </w:tc>
        <w:tc>
          <w:tcPr>
            <w:tcW w:type="dxa" w:w="1656"/>
            <w:vAlign w:val="center"/>
            <w:shd w:fill="D9EAF7"/>
          </w:tcPr>
          <w:p>
            <w:r/>
            <w:r>
              <w:rPr>
                <w:b/>
                <w:sz w:val="18"/>
              </w:rPr>
              <w:t>Mean</w:t>
            </w:r>
          </w:p>
        </w:tc>
        <w:tc>
          <w:tcPr>
            <w:tcW w:type="dxa" w:w="1656"/>
            <w:vAlign w:val="center"/>
            <w:shd w:fill="D9EAF7"/>
          </w:tcPr>
          <w:p>
            <w:r/>
            <w:r>
              <w:rPr>
                <w:b/>
                <w:sz w:val="18"/>
              </w:rPr>
              <w:t>Median</w:t>
            </w:r>
          </w:p>
        </w:tc>
        <w:tc>
          <w:tcPr>
            <w:tcW w:type="dxa" w:w="1656"/>
            <w:vAlign w:val="center"/>
            <w:shd w:fill="D9EAF7"/>
          </w:tcPr>
          <w:p>
            <w:r/>
            <w:r>
              <w:rPr>
                <w:b/>
                <w:sz w:val="18"/>
              </w:rPr>
              <w:t>Std. Dev.</w:t>
            </w:r>
          </w:p>
        </w:tc>
      </w:tr>
      <w:tr>
        <w:tc>
          <w:tcPr>
            <w:tcW w:type="dxa" w:w="1656"/>
            <w:vAlign w:val="center"/>
          </w:tcPr>
          <w:p>
            <w:r/>
            <w:r>
              <w:rPr>
                <w:b w:val="0"/>
                <w:sz w:val="18"/>
              </w:rPr>
              <w:t>Weekday (Mon–Fri)</w:t>
            </w:r>
          </w:p>
        </w:tc>
        <w:tc>
          <w:tcPr>
            <w:tcW w:type="dxa" w:w="1656"/>
            <w:vAlign w:val="center"/>
          </w:tcPr>
          <w:p>
            <w:r/>
            <w:r>
              <w:rPr>
                <w:b w:val="0"/>
                <w:sz w:val="18"/>
              </w:rPr>
              <w:t>33,054</w:t>
            </w:r>
          </w:p>
        </w:tc>
        <w:tc>
          <w:tcPr>
            <w:tcW w:type="dxa" w:w="1656"/>
            <w:vAlign w:val="center"/>
          </w:tcPr>
          <w:p>
            <w:r/>
            <w:r>
              <w:rPr>
                <w:b w:val="0"/>
                <w:sz w:val="18"/>
              </w:rPr>
              <w:t>72.50%</w:t>
            </w:r>
          </w:p>
        </w:tc>
        <w:tc>
          <w:tcPr>
            <w:tcW w:type="dxa" w:w="1656"/>
            <w:vAlign w:val="center"/>
          </w:tcPr>
          <w:p>
            <w:r/>
            <w:r>
              <w:rPr>
                <w:b w:val="0"/>
                <w:sz w:val="18"/>
              </w:rPr>
              <w:t>26.31 min</w:t>
            </w:r>
          </w:p>
        </w:tc>
        <w:tc>
          <w:tcPr>
            <w:tcW w:type="dxa" w:w="1656"/>
            <w:vAlign w:val="center"/>
          </w:tcPr>
          <w:p>
            <w:r/>
            <w:r>
              <w:rPr>
                <w:b w:val="0"/>
                <w:sz w:val="18"/>
              </w:rPr>
              <w:t>26.0 min</w:t>
            </w:r>
          </w:p>
        </w:tc>
        <w:tc>
          <w:tcPr>
            <w:tcW w:type="dxa" w:w="1656"/>
            <w:vAlign w:val="center"/>
          </w:tcPr>
          <w:p>
            <w:r/>
            <w:r>
              <w:rPr>
                <w:b w:val="0"/>
                <w:sz w:val="18"/>
              </w:rPr>
              <w:t>9.40 min</w:t>
            </w:r>
          </w:p>
        </w:tc>
      </w:tr>
      <w:tr>
        <w:tc>
          <w:tcPr>
            <w:tcW w:type="dxa" w:w="1656"/>
            <w:vAlign w:val="center"/>
          </w:tcPr>
          <w:p>
            <w:r/>
            <w:r>
              <w:rPr>
                <w:b w:val="0"/>
                <w:sz w:val="18"/>
              </w:rPr>
              <w:t>Weekend (Sat–Sun)</w:t>
            </w:r>
          </w:p>
        </w:tc>
        <w:tc>
          <w:tcPr>
            <w:tcW w:type="dxa" w:w="1656"/>
            <w:vAlign w:val="center"/>
          </w:tcPr>
          <w:p>
            <w:r/>
            <w:r>
              <w:rPr>
                <w:b w:val="0"/>
                <w:sz w:val="18"/>
              </w:rPr>
              <w:t>12,539</w:t>
            </w:r>
          </w:p>
        </w:tc>
        <w:tc>
          <w:tcPr>
            <w:tcW w:type="dxa" w:w="1656"/>
            <w:vAlign w:val="center"/>
          </w:tcPr>
          <w:p>
            <w:r/>
            <w:r>
              <w:rPr>
                <w:b w:val="0"/>
                <w:sz w:val="18"/>
              </w:rPr>
              <w:t>27.50%</w:t>
            </w:r>
          </w:p>
        </w:tc>
        <w:tc>
          <w:tcPr>
            <w:tcW w:type="dxa" w:w="1656"/>
            <w:vAlign w:val="center"/>
          </w:tcPr>
          <w:p>
            <w:r/>
            <w:r>
              <w:rPr>
                <w:b w:val="0"/>
                <w:sz w:val="18"/>
              </w:rPr>
              <w:t>26.25 min</w:t>
            </w:r>
          </w:p>
        </w:tc>
        <w:tc>
          <w:tcPr>
            <w:tcW w:type="dxa" w:w="1656"/>
            <w:vAlign w:val="center"/>
          </w:tcPr>
          <w:p>
            <w:r/>
            <w:r>
              <w:rPr>
                <w:b w:val="0"/>
                <w:sz w:val="18"/>
              </w:rPr>
              <w:t>25.0 min</w:t>
            </w:r>
          </w:p>
        </w:tc>
        <w:tc>
          <w:tcPr>
            <w:tcW w:type="dxa" w:w="1656"/>
            <w:vAlign w:val="center"/>
          </w:tcPr>
          <w:p>
            <w:r/>
            <w:r>
              <w:rPr>
                <w:b w:val="0"/>
                <w:sz w:val="18"/>
              </w:rPr>
              <w:t>9.41 min</w:t>
            </w:r>
          </w:p>
        </w:tc>
      </w:tr>
    </w:tbl>
    <w:p/>
    <w:p>
      <w:r>
        <w:t>The reported difference in mean delivery duration between weekdays and weekends is only 0.06 minutes. Within this dataset, the supplied analysis therefore identifies time-of-day variation as a much more visible operational pattern than the overall weekday/weekend split.</w:t>
      </w:r>
    </w:p>
    <w:p>
      <w:pPr>
        <w:pStyle w:val="Heading1"/>
      </w:pPr>
      <w:r>
        <w:t>6. Consolidated Business Insights</w:t>
      </w:r>
    </w:p>
    <w:p>
      <w:pPr>
        <w:pStyle w:val="ListBullet"/>
      </w:pPr>
      <w:r>
        <w:t>Typical delivery duration is around 26 minutes based on the median, with a mean of 26.29 minutes.</w:t>
      </w:r>
    </w:p>
    <w:p>
      <w:pPr>
        <w:pStyle w:val="ListBullet"/>
      </w:pPr>
      <w:r>
        <w:t>Traffic-density groups show substantial differences in observed delivery duration; Jam conditions have the highest reported mean among the traffic groups.</w:t>
      </w:r>
    </w:p>
    <w:p>
      <w:pPr>
        <w:pStyle w:val="ListBullet"/>
      </w:pPr>
      <w:r>
        <w:t>Weather categories differ materially in observed average delivery time, with Fog and Cloudy conditions at 28.92 minutes versus 21.86 minutes for Sunny conditions.</w:t>
      </w:r>
    </w:p>
    <w:p>
      <w:pPr>
        <w:pStyle w:val="ListBullet"/>
      </w:pPr>
      <w:r>
        <w:t>Estimated delivery distance has a positive, moderate association with delivery time, but it explains only a limited share of total variation when considered alone.</w:t>
      </w:r>
    </w:p>
    <w:p>
      <w:pPr>
        <w:pStyle w:val="ListBullet"/>
      </w:pPr>
      <w:r>
        <w:t>The 17:00–21:00 period is the main operational peak in the supplied analysis, combining high order volume with higher observed delivery times.</w:t>
      </w:r>
    </w:p>
    <w:p>
      <w:pPr>
        <w:pStyle w:val="ListBullet"/>
      </w:pPr>
      <w:r>
        <w:t>The weekday/weekend mean difference is negligible in the reported results.</w:t>
      </w:r>
    </w:p>
    <w:p>
      <w:pPr>
        <w:pStyle w:val="Heading1"/>
      </w:pPr>
      <w:r>
        <w:t>7. Prescriptive Strategy</w:t>
      </w:r>
    </w:p>
    <w:p>
      <w:r>
        <w:t>The following are operational strategies suggested by the observed patterns; they are not claims that the dataset has proven their causal effectiveness.</w:t>
      </w:r>
    </w:p>
    <w:p>
      <w:pPr>
        <w:pStyle w:val="ListBullet"/>
      </w:pPr>
      <w:r>
        <w:t>Use the 17:00–21:00 window as a priority period for capacity planning because the supplied analysis shows both high volume and higher observed delivery duration.</w:t>
      </w:r>
    </w:p>
    <w:p>
      <w:pPr>
        <w:pStyle w:val="ListBullet"/>
      </w:pPr>
      <w:r>
        <w:t>Consider traffic-aware operational allocation during high and Jam conditions, while recognizing that traffic is one observed factor among several.</w:t>
      </w:r>
    </w:p>
    <w:p>
      <w:pPr>
        <w:pStyle w:val="ListBullet"/>
      </w:pPr>
      <w:r>
        <w:t>Use weather categories as an additional operational signal when planning delivery capacity and customer communication.</w:t>
      </w:r>
    </w:p>
    <w:p>
      <w:pPr>
        <w:pStyle w:val="ListBullet"/>
      </w:pPr>
      <w:r>
        <w:t>Use estimated distance as a supporting risk feature rather than treating distance as a complete explanation of delivery duration.</w:t>
      </w:r>
    </w:p>
    <w:p>
      <w:pPr>
        <w:pStyle w:val="ListBullet"/>
      </w:pPr>
      <w:r>
        <w:t>For future predictive deployment, prioritize a limited intervention queue by model-estimated delay probability rather than attempting to intervene on every order.</w:t>
      </w:r>
    </w:p>
    <w:p>
      <w:r>
        <w:t>A resource-constrained implementation can define a configurable intervention capacity, for example a percentage of active deliveries, and prioritize the highest predicted-risk orders. The supplied source does not contain the completed predictive model outputs, so no specific intervention threshold or model performance is asserted here.</w:t>
      </w:r>
    </w:p>
    <w:p>
      <w:pPr>
        <w:pStyle w:val="Heading1"/>
      </w:pPr>
      <w:r>
        <w:t>8. Predictive Modeling — Project Specification</w:t>
      </w:r>
    </w:p>
    <w:p>
      <w:r>
        <w:t>The intended predictive component is to construct a binary Delay_Status target from Time_taken(min) using a transparent operational threshold, then predict elevated delay risk from information available before or during the operational decision. Time_taken(min) and any direct derivatives of it must be excluded from predictors to prevent target leakage.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Planned implementation</w:t>
            </w:r>
          </w:p>
        </w:tc>
      </w:tr>
      <w:tr>
        <w:tc>
          <w:tcPr>
            <w:tcW w:type="dxa" w:w="4968"/>
            <w:vAlign w:val="center"/>
          </w:tcPr>
          <w:p>
            <w:r/>
            <w:r>
              <w:rPr>
                <w:b w:val="0"/>
                <w:sz w:val="18"/>
              </w:rPr>
              <w:t>Target</w:t>
            </w:r>
          </w:p>
        </w:tc>
        <w:tc>
          <w:tcPr>
            <w:tcW w:type="dxa" w:w="4968"/>
            <w:vAlign w:val="center"/>
          </w:tcPr>
          <w:p>
            <w:r/>
            <w:r>
              <w:rPr>
                <w:b w:val="0"/>
                <w:sz w:val="18"/>
              </w:rPr>
              <w:t>Delay_Status (0 = normal, 1 = elevated delay risk)</w:t>
            </w:r>
          </w:p>
        </w:tc>
      </w:tr>
      <w:tr>
        <w:tc>
          <w:tcPr>
            <w:tcW w:type="dxa" w:w="4968"/>
            <w:vAlign w:val="center"/>
          </w:tcPr>
          <w:p>
            <w:r/>
            <w:r>
              <w:rPr>
                <w:b w:val="0"/>
                <w:sz w:val="18"/>
              </w:rPr>
              <w:t>Leakage control</w:t>
            </w:r>
          </w:p>
        </w:tc>
        <w:tc>
          <w:tcPr>
            <w:tcW w:type="dxa" w:w="4968"/>
            <w:vAlign w:val="center"/>
          </w:tcPr>
          <w:p>
            <w:r/>
            <w:r>
              <w:rPr>
                <w:b w:val="0"/>
                <w:sz w:val="18"/>
              </w:rPr>
              <w:t>Exclude Time_taken(min), direct derivatives, and post-outcome information</w:t>
            </w:r>
          </w:p>
        </w:tc>
      </w:tr>
      <w:tr>
        <w:tc>
          <w:tcPr>
            <w:tcW w:type="dxa" w:w="4968"/>
            <w:vAlign w:val="center"/>
          </w:tcPr>
          <w:p>
            <w:r/>
            <w:r>
              <w:rPr>
                <w:b w:val="0"/>
                <w:sz w:val="18"/>
              </w:rPr>
              <w:t>Models</w:t>
            </w:r>
          </w:p>
        </w:tc>
        <w:tc>
          <w:tcPr>
            <w:tcW w:type="dxa" w:w="4968"/>
            <w:vAlign w:val="center"/>
          </w:tcPr>
          <w:p>
            <w:r/>
            <w:r>
              <w:rPr>
                <w:b w:val="0"/>
                <w:sz w:val="18"/>
              </w:rPr>
              <w:t>Logistic Regression and Random Forest</w:t>
            </w:r>
          </w:p>
        </w:tc>
      </w:tr>
      <w:tr>
        <w:tc>
          <w:tcPr>
            <w:tcW w:type="dxa" w:w="4968"/>
            <w:vAlign w:val="center"/>
          </w:tcPr>
          <w:p>
            <w:r/>
            <w:r>
              <w:rPr>
                <w:b w:val="0"/>
                <w:sz w:val="18"/>
              </w:rPr>
              <w:t>Split</w:t>
            </w:r>
          </w:p>
        </w:tc>
        <w:tc>
          <w:tcPr>
            <w:tcW w:type="dxa" w:w="4968"/>
            <w:vAlign w:val="center"/>
          </w:tcPr>
          <w:p>
            <w:r/>
            <w:r>
              <w:rPr>
                <w:b w:val="0"/>
                <w:sz w:val="18"/>
              </w:rPr>
              <w:t>80% train / 20% test; random_state = 42; stratification where appropriate</w:t>
            </w:r>
          </w:p>
        </w:tc>
      </w:tr>
      <w:tr>
        <w:tc>
          <w:tcPr>
            <w:tcW w:type="dxa" w:w="4968"/>
            <w:vAlign w:val="center"/>
          </w:tcPr>
          <w:p>
            <w:r/>
            <w:r>
              <w:rPr>
                <w:b w:val="0"/>
                <w:sz w:val="18"/>
              </w:rPr>
              <w:t>Metrics</w:t>
            </w:r>
          </w:p>
        </w:tc>
        <w:tc>
          <w:tcPr>
            <w:tcW w:type="dxa" w:w="4968"/>
            <w:vAlign w:val="center"/>
          </w:tcPr>
          <w:p>
            <w:r/>
            <w:r>
              <w:rPr>
                <w:b w:val="0"/>
                <w:sz w:val="18"/>
              </w:rPr>
              <w:t>Accuracy, Precision, Recall, F1-score, ROC-AUC</w:t>
            </w:r>
          </w:p>
        </w:tc>
      </w:tr>
      <w:tr>
        <w:tc>
          <w:tcPr>
            <w:tcW w:type="dxa" w:w="4968"/>
            <w:vAlign w:val="center"/>
          </w:tcPr>
          <w:p>
            <w:r/>
            <w:r>
              <w:rPr>
                <w:b w:val="0"/>
                <w:sz w:val="18"/>
              </w:rPr>
              <w:t>Diagnostics</w:t>
            </w:r>
          </w:p>
        </w:tc>
        <w:tc>
          <w:tcPr>
            <w:tcW w:type="dxa" w:w="4968"/>
            <w:vAlign w:val="center"/>
          </w:tcPr>
          <w:p>
            <w:r/>
            <w:r>
              <w:rPr>
                <w:b w:val="0"/>
                <w:sz w:val="18"/>
              </w:rPr>
              <w:t>Confusion Matrix and ROC Curve</w:t>
            </w:r>
          </w:p>
        </w:tc>
      </w:tr>
      <w:tr>
        <w:tc>
          <w:tcPr>
            <w:tcW w:type="dxa" w:w="4968"/>
            <w:vAlign w:val="center"/>
          </w:tcPr>
          <w:p>
            <w:r/>
            <w:r>
              <w:rPr>
                <w:b w:val="0"/>
                <w:sz w:val="18"/>
              </w:rPr>
              <w:t>Interpretability</w:t>
            </w:r>
          </w:p>
        </w:tc>
        <w:tc>
          <w:tcPr>
            <w:tcW w:type="dxa" w:w="4968"/>
            <w:vAlign w:val="center"/>
          </w:tcPr>
          <w:p>
            <w:r/>
            <w:r>
              <w:rPr>
                <w:b w:val="0"/>
                <w:sz w:val="18"/>
              </w:rPr>
              <w:t>Coefficients and/or feature importance</w:t>
            </w:r>
          </w:p>
        </w:tc>
      </w:tr>
    </w:tbl>
    <w:p/>
    <w:p>
      <w:r>
        <w:t>No model accuracy, precision, recall, F1-score, ROC-AUC, confusion matrix, or feature importance is reported in this document because those results are not contained in the supplied source material.</w:t>
      </w:r>
    </w:p>
    <w:p>
      <w:pPr>
        <w:pStyle w:val="Heading1"/>
      </w:pPr>
      <w:r>
        <w:t>9. Streamlit Dashboard</w:t>
      </w:r>
    </w:p>
    <w:p>
      <w:r>
        <w:t>The supplied analysis states that the Streamlit application contains the five charts and tables under the section 'Tier 1 &amp; 2: Exploratory &amp; Diagnostic EDA'. The source references a local application address, but a local runtime is not reproduced in this document.</w:t>
      </w:r>
    </w:p>
    <w:p>
      <w:pPr>
        <w:pStyle w:val="ListBullet"/>
      </w:pPr>
      <w:r>
        <w:t>Executive overview with delivery KPIs.</w:t>
      </w:r>
    </w:p>
    <w:p>
      <w:pPr>
        <w:pStyle w:val="ListBullet"/>
      </w:pPr>
      <w:r>
        <w:t>Five exploratory/diagnostic visualizations.</w:t>
      </w:r>
    </w:p>
    <w:p>
      <w:pPr>
        <w:pStyle w:val="ListBullet"/>
      </w:pPr>
      <w:r>
        <w:t>Model evaluation section once predictive modeling is completed.</w:t>
      </w:r>
    </w:p>
    <w:p>
      <w:pPr>
        <w:pStyle w:val="ListBullet"/>
      </w:pPr>
      <w:r>
        <w:t>Delivery-risk section once predicted probabilities are available.</w:t>
      </w:r>
    </w:p>
    <w:p>
      <w:pPr>
        <w:pStyle w:val="ListBullet"/>
      </w:pPr>
      <w:r>
        <w:t>Prescriptive strategy section with configurable intervention capacity.</w:t>
      </w:r>
    </w:p>
    <w:p>
      <w:pPr>
        <w:pStyle w:val="Heading1"/>
      </w:pPr>
      <w:r>
        <w:t>10.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w:t>
            </w:r>
          </w:p>
        </w:tc>
        <w:tc>
          <w:tcPr>
            <w:tcW w:type="dxa" w:w="4968"/>
            <w:vAlign w:val="center"/>
            <w:shd w:fill="D9EAF7"/>
          </w:tcPr>
          <w:p>
            <w:r/>
            <w:r>
              <w:rPr>
                <w:b/>
                <w:sz w:val="18"/>
              </w:rPr>
              <w:t>Purpose</w:t>
            </w:r>
          </w:p>
        </w:tc>
      </w:tr>
      <w:tr>
        <w:tc>
          <w:tcPr>
            <w:tcW w:type="dxa" w:w="4968"/>
            <w:vAlign w:val="center"/>
          </w:tcPr>
          <w:p>
            <w:r/>
            <w:r>
              <w:rPr>
                <w:b w:val="0"/>
                <w:sz w:val="18"/>
              </w:rPr>
              <w:t>Python / Pandas</w:t>
            </w:r>
          </w:p>
        </w:tc>
        <w:tc>
          <w:tcPr>
            <w:tcW w:type="dxa" w:w="4968"/>
            <w:vAlign w:val="center"/>
          </w:tcPr>
          <w:p>
            <w:r/>
            <w:r>
              <w:rPr>
                <w:b w:val="0"/>
                <w:sz w:val="18"/>
              </w:rPr>
              <w:t>Data loading, cleaning and transformation</w:t>
            </w:r>
          </w:p>
        </w:tc>
      </w:tr>
      <w:tr>
        <w:tc>
          <w:tcPr>
            <w:tcW w:type="dxa" w:w="4968"/>
            <w:vAlign w:val="center"/>
          </w:tcPr>
          <w:p>
            <w:r/>
            <w:r>
              <w:rPr>
                <w:b w:val="0"/>
                <w:sz w:val="18"/>
              </w:rPr>
              <w:t>NumPy</w:t>
            </w:r>
          </w:p>
        </w:tc>
        <w:tc>
          <w:tcPr>
            <w:tcW w:type="dxa" w:w="4968"/>
            <w:vAlign w:val="center"/>
          </w:tcPr>
          <w:p>
            <w:r/>
            <w:r>
              <w:rPr>
                <w:b w:val="0"/>
                <w:sz w:val="18"/>
              </w:rPr>
              <w:t>Numerical calculations</w:t>
            </w:r>
          </w:p>
        </w:tc>
      </w:tr>
      <w:tr>
        <w:tc>
          <w:tcPr>
            <w:tcW w:type="dxa" w:w="4968"/>
            <w:vAlign w:val="center"/>
          </w:tcPr>
          <w:p>
            <w:r/>
            <w:r>
              <w:rPr>
                <w:b w:val="0"/>
                <w:sz w:val="18"/>
              </w:rPr>
              <w:t>Matplotlib / Seaborn</w:t>
            </w:r>
          </w:p>
        </w:tc>
        <w:tc>
          <w:tcPr>
            <w:tcW w:type="dxa" w:w="4968"/>
            <w:vAlign w:val="center"/>
          </w:tcPr>
          <w:p>
            <w:r/>
            <w:r>
              <w:rPr>
                <w:b w:val="0"/>
                <w:sz w:val="18"/>
              </w:rPr>
              <w:t>Exploratory visualizations</w:t>
            </w:r>
          </w:p>
        </w:tc>
      </w:tr>
      <w:tr>
        <w:tc>
          <w:tcPr>
            <w:tcW w:type="dxa" w:w="4968"/>
            <w:vAlign w:val="center"/>
          </w:tcPr>
          <w:p>
            <w:r/>
            <w:r>
              <w:rPr>
                <w:b w:val="0"/>
                <w:sz w:val="18"/>
              </w:rPr>
              <w:t>Scikit-learn</w:t>
            </w:r>
          </w:p>
        </w:tc>
        <w:tc>
          <w:tcPr>
            <w:tcW w:type="dxa" w:w="4968"/>
            <w:vAlign w:val="center"/>
          </w:tcPr>
          <w:p>
            <w:r/>
            <w:r>
              <w:rPr>
                <w:b w:val="0"/>
                <w:sz w:val="18"/>
              </w:rPr>
              <w:t>Predictive modeling and evaluation</w:t>
            </w:r>
          </w:p>
        </w:tc>
      </w:tr>
      <w:tr>
        <w:tc>
          <w:tcPr>
            <w:tcW w:type="dxa" w:w="4968"/>
            <w:vAlign w:val="center"/>
          </w:tcPr>
          <w:p>
            <w:r/>
            <w:r>
              <w:rPr>
                <w:b w:val="0"/>
                <w:sz w:val="18"/>
              </w:rPr>
              <w:t>Streamlit</w:t>
            </w:r>
          </w:p>
        </w:tc>
        <w:tc>
          <w:tcPr>
            <w:tcW w:type="dxa" w:w="4968"/>
            <w:vAlign w:val="center"/>
          </w:tcPr>
          <w:p>
            <w:r/>
            <w:r>
              <w:rPr>
                <w:b w:val="0"/>
                <w:sz w:val="18"/>
              </w:rPr>
              <w:t>Interactive analytical dashboard</w:t>
            </w:r>
          </w:p>
        </w:tc>
      </w:tr>
      <w:tr>
        <w:tc>
          <w:tcPr>
            <w:tcW w:type="dxa" w:w="4968"/>
            <w:vAlign w:val="center"/>
          </w:tcPr>
          <w:p>
            <w:r/>
            <w:r>
              <w:rPr>
                <w:b w:val="0"/>
                <w:sz w:val="18"/>
              </w:rPr>
              <w:t>SQL</w:t>
            </w:r>
          </w:p>
        </w:tc>
        <w:tc>
          <w:tcPr>
            <w:tcW w:type="dxa" w:w="4968"/>
            <w:vAlign w:val="center"/>
          </w:tcPr>
          <w:p>
            <w:r/>
            <w:r>
              <w:rPr>
                <w:b w:val="0"/>
                <w:sz w:val="18"/>
              </w:rPr>
              <w:t>Business-oriented analytical querying</w:t>
            </w:r>
          </w:p>
        </w:tc>
      </w:tr>
      <w:tr>
        <w:tc>
          <w:tcPr>
            <w:tcW w:type="dxa" w:w="4968"/>
            <w:vAlign w:val="center"/>
          </w:tcPr>
          <w:p>
            <w:r/>
            <w:r>
              <w:rPr>
                <w:b w:val="0"/>
                <w:sz w:val="18"/>
              </w:rPr>
              <w:t>Git / GitHub</w:t>
            </w:r>
          </w:p>
        </w:tc>
        <w:tc>
          <w:tcPr>
            <w:tcW w:type="dxa" w:w="4968"/>
            <w:vAlign w:val="center"/>
          </w:tcPr>
          <w:p>
            <w:r/>
            <w:r>
              <w:rPr>
                <w:b w:val="0"/>
                <w:sz w:val="18"/>
              </w:rPr>
              <w:t>Version control and portfolio publication</w:t>
            </w:r>
          </w:p>
        </w:tc>
      </w:tr>
    </w:tbl>
    <w:p/>
    <w:p>
      <w:pPr>
        <w:pStyle w:val="Heading1"/>
      </w:pPr>
      <w:r>
        <w:t>11. Limitations</w:t>
      </w:r>
    </w:p>
    <w:p>
      <w:pPr>
        <w:pStyle w:val="ListBullet"/>
      </w:pPr>
      <w:r>
        <w:t>The supplied report is observational; associations should not be interpreted as causal effects.</w:t>
      </w:r>
    </w:p>
    <w:p>
      <w:pPr>
        <w:pStyle w:val="ListBullet"/>
      </w:pPr>
      <w:r>
        <w:t>Haversine distance is a straight-line estimate rather than actual road distance.</w:t>
      </w:r>
    </w:p>
    <w:p>
      <w:pPr>
        <w:pStyle w:val="ListBullet"/>
      </w:pPr>
      <w:r>
        <w:t>Traffic and weather categories may coincide with other operational factors, creating confounding.</w:t>
      </w:r>
    </w:p>
    <w:p>
      <w:pPr>
        <w:pStyle w:val="ListBullet"/>
      </w:pPr>
      <w:r>
        <w:t>No promised/expected delivery-time field is documented in the supplied analysis, so a statistically defined delay target must be explicitly documented if classification is implemented.</w:t>
      </w:r>
    </w:p>
    <w:p>
      <w:pPr>
        <w:pStyle w:val="ListBullet"/>
      </w:pPr>
      <w:r>
        <w:t>The supplied source does not include completed ML evaluation metrics, so predictive performance cannot be assessed from this report alone.</w:t>
      </w:r>
    </w:p>
    <w:p>
      <w:pPr>
        <w:pStyle w:val="ListBullet"/>
      </w:pPr>
      <w:r>
        <w:t>Operational recommendations are hypotheses for intervention and should be tested before being treated as proven improvements.</w:t>
      </w:r>
    </w:p>
    <w:p>
      <w:pPr>
        <w:pStyle w:val="Heading1"/>
      </w:pPr>
      <w:r>
        <w:t>12. Conclusion</w:t>
      </w:r>
    </w:p>
    <w:p>
      <w:r>
        <w:t>The analysis of 45,593 food-delivery observations provides a clear descriptive and diagnostic picture of delivery-time behavior. The central observed delivery duration is 26 minutes, while traffic density, weather category, estimated distance, and time-of-day exhibit meaningful differences or associations with delivery duration. The most pronounced temporal pattern in the supplied results occurs during the evening operational peak.</w:t>
      </w:r>
    </w:p>
    <w:p>
      <w:r>
        <w:t>The analysis establishes a strong foundation for the next stage of the project: leakage-safe delay-risk prediction followed by resource-constrained operational prioritization. Any future machine-learning conclusions should be based on the actual train/test results and should retain the same distinction between predictive association and causal explanation.</w:t>
      </w:r>
    </w:p>
    <w:p>
      <w:pPr>
        <w:pStyle w:val="Heading1"/>
      </w:pPr>
      <w:r>
        <w:t>13. Source &amp; Evidence Note</w:t>
      </w:r>
    </w:p>
    <w:p>
      <w:r>
        <w:t>This report was prepared from the supplied project analysis document. The source states that the five visualization metrics, percentiles, sample sizes, and correlations were calculated directly from the 45,593-observation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Food Delivery Operations &amp; Delivery Time Analytics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