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Override PartName="/word/media/rId30.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2021-11-28</w:t>
      </w:r>
    </w:p>
    <w:bookmarkStart w:id="20" w:name="abstract"/>
    <w:p>
      <w:pPr>
        <w:pStyle w:val="Heading1"/>
      </w:pPr>
      <w:r>
        <w:rPr>
          <w:rStyle w:val="SectionNumber"/>
        </w:rPr>
        <w:t xml:space="preserve">1</w:t>
      </w:r>
      <w:r>
        <w:tab/>
      </w:r>
      <w:r>
        <w:t xml:space="preserve">Abstract</w:t>
      </w:r>
    </w:p>
    <w:p>
      <w:pPr>
        <w:pStyle w:val="FirstParagraph"/>
      </w:pPr>
    </w:p>
    <w:p>
      <w:pPr>
        <w:pStyle w:val="BodyText"/>
      </w:pPr>
      <w:r>
        <w:t xml:space="preserve">Stream health and water quality is typically measured by its physical characteristics (chemistry, surrounding land use area, channelization, etc.); Microbial (fecal indicator), and ecology (diversity of indicator macroinvertebrates). However, these categories are usually analyzed separately to assess stream health. If the impact of urbanization on freshwater bodies is not monolithic, we could be spending a lot of time and effort on monitoring programs that are not effective. Studies have shown conflicting results on what variables like conductivity, turbidity, e. coli cfu (fecal coliform indicator), nutrient (nitrogen and phosphorus) concentration, and biodiversity indicator score actually say about water quality. Therefore, a study was conducted assess how well all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Data was acquired from a publicly available spreadsheet of water quality measurements collected by the Upper Oconee Watershed Network (UOWN) between 2003 and 2020. Data originated from three distinct watersheds in the Athens- Clarke County area: Middle Oconee (MIDO), North Oconee (NORO), and Oconee (BIOC). The data were analyzed first by using bivariate linear modeling of the variables conductivity, turbidity, nitrate (no3) concentration, E. coli cfu, and biodiversity indicator score (biological score). E. coli cfu and biological score were used as outcomes to specifically see if easy to measure physical/chemical properties could predict biological variables to assess water quality. Second, the MIDO data were analyzed using LASSO linear modeling to construct the best combinations of variables to predict E. coli cfu and biological score.</w:t>
      </w:r>
    </w:p>
    <w:p>
      <w:pPr>
        <w:pStyle w:val="BodyText"/>
      </w:pPr>
      <w:r>
        <w:t xml:space="preserve">Results indicated that the only significant bivariate relationships that existed were between E. coli cfu and conductivity for the MIDO site only. LASSO modeling produced models that did not fit the data any better than the null model that was calculated for cross validation. This indicates that physical/chemical water quality measurements cannot predict biological measurements. This suggests that the citizen science approach to water quality monitoring should be re-evaluated for sampling robustness or that the effect of urbanization is spatially and temporally different and may not captured well without more in-depth sampling. Future studies should investigate how specific aspects of urbanization actually impact our indicator variables of water quality and stream health.</w:t>
      </w:r>
    </w:p>
    <w:p>
      <w:pPr>
        <w:pStyle w:val="BodyText"/>
      </w:pPr>
    </w:p>
    <w:bookmarkEnd w:id="20"/>
    <w:bookmarkStart w:id="21" w:name="introduction"/>
    <w:p>
      <w:pPr>
        <w:pStyle w:val="Heading1"/>
      </w:pPr>
      <w:r>
        <w:rPr>
          <w:rStyle w:val="SectionNumber"/>
        </w:rPr>
        <w:t xml:space="preserve">2</w:t>
      </w:r>
      <w:r>
        <w:tab/>
      </w:r>
      <w:r>
        <w:t xml:space="preserve">Introduction</w:t>
      </w:r>
    </w:p>
    <w:p>
      <w:pPr>
        <w:pStyle w:val="FirstParagraph"/>
      </w:pPr>
      <w: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due to increasingly warmer climate (</w:t>
      </w:r>
      <w:r>
        <w:t xml:space="preserve">[1]</w:t>
      </w:r>
      <w:r>
        <w:t xml:space="preserve">), our freshwater reserves are also threatened by pollution by urbanization. Urbanization surrounding a freshwater body creates a watershed dominated by impervious surface in the form of concrete and asphalt (</w:t>
      </w:r>
      <w:r>
        <w:t xml:space="preserve">[2]</w:t>
      </w:r>
      <w:r>
        <w:t xml:space="preserve">). Studies have shown that there is a significant negative relationship between impervious surface coverage and water quality (</w:t>
      </w:r>
      <w:r>
        <w:t xml:space="preserve">[3]</w:t>
      </w:r>
      <w:r>
        <w:t xml:space="preserve">). This is most likely due to accumulation and concentration of run-off pollutants from an entire watershed into a single drainage basin (i.e. freshwater body)(</w:t>
      </w:r>
      <w:r>
        <w:t xml:space="preserve">[4]</w:t>
      </w:r>
      <w:r>
        <w:t xml:space="preserve">;</w:t>
      </w:r>
      <w:r>
        <w:t xml:space="preserve"> </w:t>
      </w:r>
      <w:r>
        <w:t xml:space="preserve">[5]</w:t>
      </w:r>
      <w:r>
        <w:t xml:space="preserve">). Because the urban world continues to grow with population, it is likely that we will see a proportional decrease in water quality in our freshwater bodies as a result (</w:t>
      </w:r>
      <w:r>
        <w:t xml:space="preserve">[5]</w:t>
      </w:r>
      <w:r>
        <w:t xml:space="preserve">). Therefore, a rapid and consistent monitoring system needs to be in place to effectively allocate resources to remediating body of water in the midst of being polluted.</w:t>
      </w:r>
    </w:p>
    <w:p>
      <w:pPr>
        <w:pStyle w:val="BodyText"/>
      </w:pPr>
      <w:r>
        <w:t xml:space="preserve">Currently, stream health and water quality are typically measured by their physical characteristics (chemistry, surrounding land use area, channelization, etc.); Microbial (fecal indicator), and ecology (diversity of indicator macroinvertebrates) (</w:t>
      </w:r>
      <w:r>
        <w:t xml:space="preserve">[6]</w:t>
      </w:r>
      <w:r>
        <w:t xml:space="preserve">;</w:t>
      </w:r>
      <w:r>
        <w:t xml:space="preserve"> </w:t>
      </w:r>
      <w:r>
        <w:t xml:space="preserve">[7]</w:t>
      </w:r>
      <w:r>
        <w:t xml:space="preserve">;</w:t>
      </w:r>
      <w:r>
        <w:t xml:space="preserve"> </w:t>
      </w:r>
      <w:r>
        <w:t xml:space="preserve">[8]</w:t>
      </w:r>
      <w:r>
        <w:t xml:space="preserve">).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w:t>
      </w:r>
      <w:r>
        <w:t xml:space="preserve">[6]</w:t>
      </w:r>
      <w:r>
        <w:t xml:space="preserve">;</w:t>
      </w:r>
      <w:r>
        <w:t xml:space="preserve"> </w:t>
      </w:r>
      <w:r>
        <w:t xml:space="preserve">[7]</w:t>
      </w:r>
      <w:r>
        <w:t xml:space="preserve">;</w:t>
      </w:r>
      <w:r>
        <w:t xml:space="preserve"> </w:t>
      </w:r>
      <w:r>
        <w:t xml:space="preserve">[8]</w:t>
      </w:r>
      <w:r>
        <w:t xml:space="preserve">). While Biological Indicatior Score is used to measure the combination of stream chemical and physical properties (</w:t>
      </w:r>
      <w:r>
        <w:t xml:space="preserve">[7]</w:t>
      </w:r>
      <w:r>
        <w:t xml:space="preserve">), it is hard to evaluate whether urbanization affects watersheds and water quality uniformly (</w:t>
      </w:r>
      <w:r>
        <w:t xml:space="preserve">[9]</w:t>
      </w:r>
      <w:r>
        <w:t xml:space="preserve">). Evaluating how uniform the impact of urbanization is on different watersheds would allow for a cookie-cutter monitoring and remediation method, which would allow implementation to be fairly easy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in an effort to consistently monitor water quality in a community. However, studies have shown conflicting results on what variables like conductivity, turbidity, e. coli cfu (fecal coliform indicator), nutrient (nitrogen and phosphorus) concentration, and biodiversity indicator score actually say about water quality (</w:t>
      </w:r>
      <w:r>
        <w:t xml:space="preserve">[10]</w:t>
      </w:r>
      <w:r>
        <w:t xml:space="preserve">). Therefore, I aim to answer how well are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I would expect that because the all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pPr>
        <w:pStyle w:val="BodyText"/>
      </w:pPr>
    </w:p>
    <w:bookmarkEnd w:id="21"/>
    <w:bookmarkStart w:id="26" w:name="methods"/>
    <w:p>
      <w:pPr>
        <w:pStyle w:val="Heading1"/>
      </w:pPr>
      <w:r>
        <w:rPr>
          <w:rStyle w:val="SectionNumber"/>
        </w:rPr>
        <w:t xml:space="preserve">3</w:t>
      </w:r>
      <w:r>
        <w:tab/>
      </w:r>
      <w:r>
        <w:t xml:space="preserve">Methods</w:t>
      </w:r>
    </w:p>
    <w:p>
      <w:pPr>
        <w:pStyle w:val="FirstParagraph"/>
      </w:pPr>
      <w: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t xml:space="preserve"> </w:t>
      </w:r>
      <w:r>
        <w:t xml:space="preserve">“</w:t>
      </w:r>
      <w:r>
        <w:t xml:space="preserve">po4.mgl</w:t>
      </w:r>
      <w:r>
        <w:t xml:space="preserve">”</w:t>
      </w:r>
      <w:r>
        <w:t xml:space="preserve"> </w:t>
      </w:r>
      <w:r>
        <w:t xml:space="preserve">and</w:t>
      </w:r>
      <w:r>
        <w:t xml:space="preserve"> </w:t>
      </w:r>
      <w:r>
        <w:t xml:space="preserve">“</w:t>
      </w:r>
      <w:r>
        <w:t xml:space="preserve">temperature</w:t>
      </w:r>
      <w:r>
        <w:t xml:space="preserve">”</w:t>
      </w:r>
      <w:r>
        <w:t xml:space="preserve"> </w:t>
      </w:r>
      <w: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t xml:space="preserve">Below is the cleaned data produced from our data processing. Data was processed using the processingscript.R file and includes the following steps:</w:t>
      </w:r>
    </w:p>
    <w:p>
      <w:pPr>
        <w:numPr>
          <w:ilvl w:val="0"/>
          <w:numId w:val="1001"/>
        </w:numPr>
      </w:pPr>
      <w:r>
        <w:t xml:space="preserve">Load rawdata from excel file. Note the use of the here() package and not absolute paths.</w:t>
      </w:r>
    </w:p>
    <w:p>
      <w:pPr>
        <w:numPr>
          <w:ilvl w:val="0"/>
          <w:numId w:val="1001"/>
        </w:numPr>
      </w:pPr>
      <w:r>
        <w:t xml:space="preserve">Designate NA’s as actually missing values instead of factor data.</w:t>
      </w:r>
    </w:p>
    <w:p>
      <w:pPr>
        <w:numPr>
          <w:ilvl w:val="0"/>
          <w:numId w:val="1001"/>
        </w:numPr>
      </w:pPr>
      <w:r>
        <w:t xml:space="preserve">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FirstParagraph"/>
      </w:pPr>
      <w:r>
        <w:t xml:space="preserve">There is 3,075 rows and 12 columns. This is because data has been collected for ~20 years. Unfortunately, I am seeing a lot of NA’s in the data. Because this is citizen science monitoring data, NA most likely means the data wasn’t collected during that event and is a form of human error bias.</w:t>
      </w:r>
    </w:p>
    <w:p>
      <w:pPr>
        <w:numPr>
          <w:ilvl w:val="0"/>
          <w:numId w:val="1002"/>
        </w:numPr>
      </w:pPr>
      <w:r>
        <w:t xml:space="preserve">Use NA assessment to see determine which variables to remove from assessment. This was done using the is_na function. 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numPr>
          <w:ilvl w:val="0"/>
          <w:numId w:val="1002"/>
        </w:numPr>
      </w:pPr>
      <w:r>
        <w:t xml:space="preserve">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numPr>
          <w:ilvl w:val="0"/>
          <w:numId w:val="1002"/>
        </w:numPr>
      </w:pPr>
      <w:r>
        <w:t xml:space="preserve">Separate the data into three separate data frames based on location ID:</w:t>
      </w:r>
      <w:r>
        <w:t xml:space="preserve"> </w:t>
      </w:r>
      <w:r>
        <w:t xml:space="preserve">“</w:t>
      </w:r>
      <w:r>
        <w:t xml:space="preserve">MIDO,</w:t>
      </w:r>
      <w:r>
        <w:t xml:space="preserve">”</w:t>
      </w:r>
      <w:r>
        <w:t xml:space="preserve"> </w:t>
      </w:r>
      <w:r>
        <w:t xml:space="preserve">“</w:t>
      </w:r>
      <w:r>
        <w:t xml:space="preserve">NORO,</w:t>
      </w:r>
      <w:r>
        <w:t xml:space="preserve">”</w:t>
      </w:r>
      <w:r>
        <w:t xml:space="preserve"> </w:t>
      </w:r>
      <w:r>
        <w:t xml:space="preserve">and</w:t>
      </w:r>
      <w:r>
        <w:t xml:space="preserve"> </w:t>
      </w:r>
      <w:r>
        <w:t xml:space="preserve">“</w:t>
      </w:r>
      <w:r>
        <w:t xml:space="preserve">BICO.</w:t>
      </w:r>
      <w:r>
        <w:t xml:space="preserve">”</w:t>
      </w:r>
      <w:r>
        <w:t xml:space="preserve"> </w:t>
      </w:r>
      <w:r>
        <w:t xml:space="preserve">This is to separate out any bias based on location of the streams within ACC.</w:t>
      </w:r>
    </w:p>
    <w:p>
      <w:pPr>
        <w:numPr>
          <w:ilvl w:val="0"/>
          <w:numId w:val="1002"/>
        </w:numPr>
      </w:pPr>
      <w:r>
        <w:t xml:space="preserve">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bookmarkEnd w:id="23"/>
    <w:bookmarkStart w:id="24" w:name="exploratory-analysis"/>
    <w:p>
      <w:pPr>
        <w:pStyle w:val="Heading2"/>
      </w:pPr>
      <w:r>
        <w:rPr>
          <w:rStyle w:val="SectionNumber"/>
        </w:rPr>
        <w:t xml:space="preserve">3.3</w:t>
      </w:r>
      <w:r>
        <w:tab/>
      </w:r>
      <w:r>
        <w:t xml:space="preserve">Exploratory analysis</w:t>
      </w:r>
    </w:p>
    <w:p>
      <w:pPr>
        <w:pStyle w:val="FirstParagraph"/>
      </w:pPr>
      <w:r>
        <w:t xml:space="preserve">The following is an exploration of Stream Health Indicator correlation and comparison. The exploration will be structured as follows:</w:t>
      </w:r>
    </w:p>
    <w:p>
      <w:pPr>
        <w:pStyle w:val="BodyText"/>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t xml:space="preserve">At this point, 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t xml:space="preserve"> </w:t>
      </w:r>
      <w:r>
        <w:t xml:space="preserve">“</w:t>
      </w:r>
      <w:r>
        <w:t xml:space="preserve">test</w:t>
      </w:r>
      <w:r>
        <w:t xml:space="preserve">”</w:t>
      </w:r>
      <w:r>
        <w:t xml:space="preserve"> </w:t>
      </w:r>
      <w:r>
        <w:t xml:space="preserve">and</w:t>
      </w:r>
      <w:r>
        <w:t xml:space="preserve"> </w:t>
      </w:r>
      <w:r>
        <w:t xml:space="preserve">“</w:t>
      </w:r>
      <w:r>
        <w:t xml:space="preserve">train</w:t>
      </w:r>
      <w:r>
        <w:t xml:space="preserve">”</w:t>
      </w:r>
      <w:r>
        <w:t xml:space="preserve"> </w:t>
      </w:r>
      <w: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bookmarkEnd w:id="25"/>
    <w:bookmarkEnd w:id="26"/>
    <w:bookmarkStart w:id="32" w:name="results"/>
    <w:p>
      <w:pPr>
        <w:pStyle w:val="Heading1"/>
      </w:pPr>
      <w:r>
        <w:rPr>
          <w:rStyle w:val="SectionNumber"/>
        </w:rPr>
        <w:t xml:space="preserve">4</w:t>
      </w:r>
      <w:r>
        <w:tab/>
      </w:r>
      <w:r>
        <w:t xml:space="preserve">Results</w:t>
      </w:r>
    </w:p>
    <w:p>
      <w:pPr>
        <w:pStyle w:val="FirstParagraph"/>
      </w:pPr>
      <w:r>
        <w:t xml:space="preserve">Results from exploratory data analysis indicates that most interactions between stream health indicators were non-significant, with the exception of E. coli (cfu) and turbidity. Additionally, the data set is most likely not skewed by influential outliers.</w:t>
      </w:r>
    </w:p>
    <w:p>
      <w:pPr>
        <w:pStyle w:val="BodyText"/>
      </w:pPr>
      <w:r>
        <w:t xml:space="preserve">In addition to non-significant interactions, the relationships (slopes) between either biological score or E. coli cfu and stream physical and chemical properties varied inconsistently between sites.</w:t>
      </w:r>
    </w:p>
    <w:p>
      <w:pPr>
        <w:pStyle w:val="BodyText"/>
      </w:pPr>
      <w:r>
        <w:t xml:space="preserve">Focusing on just biological score as the outcome variable biological score (supplementary figures 1-3), the interaction with conductivity was determined to be negative for the MIDO and NORO site. However, the BICO site had a positive interaction. Next, the regression plotting found a negative interaction with E. coli cfu for the MIDO and BICO sites. But, there was a positive interaction for the NORO site. For nitrate concentration, the interaction was negative for all sites. Finally, the interaction with turbidity was negative for the BICO site, while a positive interaction was found for the MIDO and NORO sites.</w:t>
      </w:r>
    </w:p>
    <w:p>
      <w:pPr>
        <w:pStyle w:val="BodyText"/>
      </w:pPr>
      <w:r>
        <w:t xml:space="preserve">Focusing on E. coli cfu as the outcome of interest (figures 1-3 below), the interaction with conductivity was negative for MIDO and NORO. However, the BICO site had a positive interaction. The interaction with nitrate concentration was negative for all three sites. Finally the interaction with turbidity was positive at all three sites.</w:t>
      </w:r>
    </w:p>
    <w:p>
      <w:pPr>
        <w:pStyle w:val="BodyText"/>
      </w:pPr>
      <w:r>
        <w:rPr>
          <w:iCs/>
          <w:i/>
        </w:rPr>
        <w:t xml:space="preserve">Figure 1: Plots of E. coli cfu versus conductivity, nitrate concentration, and turbidity for the MIDO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MIDO_ecfu_lm.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2: Plots of E. coli cfu versus conductivity, nitrate concentration, and turbidity for the NORO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NORO_ecfu_lm.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3: Plots of E. coli cfu versus conductivity, nitrate concentration, and turbidity for the BICO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BICO_ecfu_lm.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TableCaption"/>
      </w:pPr>
      <w:r>
        <w:t xml:space="preserve">Table 1: Linear Fit Model: E. Coli CFU predicted by Conductivity in the Trained MIDO Data Set</w:t>
      </w:r>
    </w:p>
    <w:tbl>
      <w:tblPr>
        <w:tblStyle w:val="Table"/>
        <w:tblW w:type="pct" w:w="0.0"/>
        <w:tblLook w:firstRow="1" w:lastRow="0" w:firstColumn="0" w:lastColumn="0" w:noHBand="0" w:noVBand="0" w:val="0020"/>
        <w:tblCaption w:val="Table 1: 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476.0076</w:t>
            </w:r>
          </w:p>
        </w:tc>
        <w:tc>
          <w:p>
            <w:pPr>
              <w:pStyle w:val="Compact"/>
              <w:jc w:val="right"/>
            </w:pPr>
            <w:r>
              <w:t xml:space="preserve">76.83504</w:t>
            </w:r>
          </w:p>
        </w:tc>
        <w:tc>
          <w:p>
            <w:pPr>
              <w:pStyle w:val="Compact"/>
              <w:jc w:val="right"/>
            </w:pPr>
            <w:r>
              <w:t xml:space="preserve">6.195189</w:t>
            </w:r>
          </w:p>
        </w:tc>
        <w:tc>
          <w:p>
            <w:pPr>
              <w:pStyle w:val="Compact"/>
              <w:jc w:val="right"/>
            </w:pPr>
            <w:r>
              <w:t xml:space="preserve">0</w:t>
            </w:r>
          </w:p>
        </w:tc>
      </w:tr>
    </w:tbl>
    <w:p>
      <w:pPr>
        <w:pStyle w:val="BodyText"/>
      </w:pPr>
    </w:p>
    <w:p>
      <w:pPr>
        <w:pStyle w:val="TableCaption"/>
      </w:pPr>
      <w:r>
        <w:t xml:space="preserve">Table 2: Root Mean Square Error: E. Coli CFU predicted by Conductivity in the Trained MIDO Data Set</w:t>
      </w:r>
    </w:p>
    <w:tbl>
      <w:tblPr>
        <w:tblStyle w:val="Table"/>
        <w:tblW w:type="pct" w:w="0.0"/>
        <w:tblLook w:firstRow="1" w:lastRow="0" w:firstColumn="0" w:lastColumn="0" w:noHBand="0" w:noVBand="0" w:val="0020"/>
        <w:tblCaption w:val="Table 2: 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619.4639</w:t>
            </w:r>
          </w:p>
        </w:tc>
      </w:tr>
    </w:tbl>
    <w:p>
      <w:pPr>
        <w:pStyle w:val="BodyText"/>
      </w:pPr>
    </w:p>
    <w:p>
      <w:pPr>
        <w:pStyle w:val="BodyText"/>
      </w:pPr>
      <w: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TableCaption"/>
      </w:pPr>
      <w:r>
        <w:t xml:space="preserve">Table 3: Root Mean Squared Error and Standard Deviation for Biological Score Null Linear Model</w:t>
      </w:r>
    </w:p>
    <w:tbl>
      <w:tblPr>
        <w:tblStyle w:val="Table"/>
        <w:tblW w:type="pct" w:w="0.0"/>
        <w:tblLook w:firstRow="1" w:lastRow="0" w:firstColumn="0" w:lastColumn="0" w:noHBand="0" w:noVBand="0" w:val="0020"/>
        <w:tblCaption w:val="Table 3: 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4: Top 5 best performing LASSO Models for Biological Score as the Outcome</w:t>
      </w:r>
    </w:p>
    <w:tbl>
      <w:tblPr>
        <w:tblStyle w:val="Table"/>
        <w:tblW w:type="pct" w:w="0.0"/>
        <w:tblLook w:firstRow="1" w:lastRow="0" w:firstColumn="0" w:lastColumn="0" w:noHBand="0" w:noVBand="0" w:val="0020"/>
        <w:tblCaption w:val="Table 4: 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p>
    <w:p>
      <w:pPr>
        <w:pStyle w:val="TableCaption"/>
      </w:pPr>
      <w:r>
        <w:t xml:space="preserve">Table 5: Root Mean Squared Error and Standard Deviation for E. coli cfu Null Linear Model</w:t>
      </w:r>
    </w:p>
    <w:tbl>
      <w:tblPr>
        <w:tblStyle w:val="Table"/>
        <w:tblW w:type="pct" w:w="0.0"/>
        <w:tblLook w:firstRow="1" w:lastRow="0" w:firstColumn="0" w:lastColumn="0" w:noHBand="0" w:noVBand="0" w:val="0020"/>
        <w:tblCaption w:val="Table 5: 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6: Top 5 best performing LASSO Models for E. coli cfu as the Outcome</w:t>
      </w:r>
    </w:p>
    <w:tbl>
      <w:tblPr>
        <w:tblStyle w:val="Table"/>
        <w:tblW w:type="pct" w:w="0.0"/>
        <w:tblLook w:firstRow="1" w:lastRow="0" w:firstColumn="0" w:lastColumn="0" w:noHBand="0" w:noVBand="0" w:val="0020"/>
        <w:tblCaption w:val="Table 6: 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p>
    <w:p>
      <w:pPr>
        <w:pStyle w:val="BodyText"/>
      </w:pPr>
      <w:r>
        <w:rPr>
          <w:iCs/>
          <w:i/>
        </w:rPr>
        <w:t xml:space="preserve">Figure 4: Scatter plot of LASSO model predicted Biological Score data as a function of actual Biological Score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BS.png" id="0" name="Picture"/>
                    <pic:cNvPicPr>
                      <a:picLocks noChangeArrowheads="1" noChangeAspect="1"/>
                    </pic:cNvPicPr>
                  </pic:nvPicPr>
                  <pic:blipFill>
                    <a:blip r:embed="rId30"/>
                    <a:stretch>
                      <a:fillRect/>
                    </a:stretch>
                  </pic:blipFill>
                  <pic:spPr bwMode="auto">
                    <a:xfrm>
                      <a:off x="0" y="0"/>
                      <a:ext cx="3994001" cy="2464904"/>
                    </a:xfrm>
                    <a:prstGeom prst="rect">
                      <a:avLst/>
                    </a:prstGeom>
                    <a:noFill/>
                    <a:ln w="9525">
                      <a:noFill/>
                      <a:headEnd/>
                      <a:tailEnd/>
                    </a:ln>
                  </pic:spPr>
                </pic:pic>
              </a:graphicData>
            </a:graphic>
          </wp:inline>
        </w:drawing>
      </w:r>
    </w:p>
    <w:p>
      <w:pPr>
        <w:pStyle w:val="BodyText"/>
      </w:pPr>
      <w:r>
        <w:rPr>
          <w:iCs/>
          <w:i/>
        </w:rPr>
        <w:t xml:space="preserve">Figure 5: Scatter plot of LASSO model predicted E. coli cfu data as a function of actual E. coli cfu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EC.png" id="0" name="Picture"/>
                    <pic:cNvPicPr>
                      <a:picLocks noChangeArrowheads="1" noChangeAspect="1"/>
                    </pic:cNvPicPr>
                  </pic:nvPicPr>
                  <pic:blipFill>
                    <a:blip r:embed="rId31"/>
                    <a:stretch>
                      <a:fillRect/>
                    </a:stretch>
                  </pic:blipFill>
                  <pic:spPr bwMode="auto">
                    <a:xfrm>
                      <a:off x="0" y="0"/>
                      <a:ext cx="3994001" cy="2464904"/>
                    </a:xfrm>
                    <a:prstGeom prst="rect">
                      <a:avLst/>
                    </a:prstGeom>
                    <a:noFill/>
                    <a:ln w="9525">
                      <a:noFill/>
                      <a:headEnd/>
                      <a:tailEnd/>
                    </a:ln>
                  </pic:spPr>
                </pic:pic>
              </a:graphicData>
            </a:graphic>
          </wp:inline>
        </w:drawing>
      </w:r>
    </w:p>
    <w:bookmarkEnd w:id="32"/>
    <w:bookmarkStart w:id="34" w:name="discussion"/>
    <w:p>
      <w:pPr>
        <w:pStyle w:val="Heading1"/>
      </w:pPr>
      <w:r>
        <w:rPr>
          <w:rStyle w:val="SectionNumber"/>
        </w:rPr>
        <w:t xml:space="preserve">5</w:t>
      </w:r>
      <w:r>
        <w:tab/>
      </w:r>
      <w:r>
        <w:t xml:space="preserve">Discussion</w:t>
      </w:r>
    </w:p>
    <w:p>
      <w:pPr>
        <w:pStyle w:val="FirstParagraph"/>
      </w:pPr>
      <w:r>
        <w:t xml:space="preserve">Based on the inconsistent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either Biological Score or E. coli cfu from any combination of stream physical and chemical properties.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bookmarkStart w:id="33" w:name="conclusions"/>
    <w:p>
      <w:pPr>
        <w:pStyle w:val="Heading2"/>
      </w:pPr>
      <w:r>
        <w:rPr>
          <w:rStyle w:val="SectionNumber"/>
        </w:rPr>
        <w:t xml:space="preserve">5.1</w:t>
      </w:r>
      <w:r>
        <w:tab/>
      </w:r>
      <w:r>
        <w:t xml:space="preserve">Conclusions</w:t>
      </w:r>
    </w:p>
    <w:p>
      <w:pPr>
        <w:pStyle w:val="FirstParagraph"/>
      </w:pPr>
      <w: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t xml:space="preserve"> </w:t>
      </w:r>
      <w:r>
        <w:t xml:space="preserve">“</w:t>
      </w:r>
      <w:r>
        <w:t xml:space="preserve">healthy stream</w:t>
      </w:r>
      <w:r>
        <w:t xml:space="preserve">”</w:t>
      </w:r>
      <w:r>
        <w:t xml:space="preserve"> </w:t>
      </w:r>
      <w: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33"/>
    <w:bookmarkEnd w:id="34"/>
    <w:bookmarkStart w:id="56" w:name="references"/>
    <w:p>
      <w:pPr>
        <w:pStyle w:val="Heading1"/>
      </w:pPr>
      <w:r>
        <w:t xml:space="preserve">References</w:t>
      </w:r>
    </w:p>
    <w:bookmarkStart w:id="55" w:name="refs"/>
    <w:bookmarkStart w:id="36" w:name="ref-Winter2017"/>
    <w:p>
      <w:pPr>
        <w:pStyle w:val="Bibliography"/>
      </w:pPr>
      <w:r>
        <w:t xml:space="preserve">[1]</w:t>
      </w:r>
      <w:r>
        <w:t xml:space="preserve"> </w:t>
      </w:r>
      <w:r>
        <w:t xml:space="preserve">	</w:t>
      </w:r>
      <w:r>
        <w:t xml:space="preserve">J.M. Winter, J.R. Lopez, A.C. Ruane, C.A. Young, B.R. Scanlon, C. Rosenzweig,</w:t>
      </w:r>
      <w:r>
        <w:t xml:space="preserve"> </w:t>
      </w:r>
      <w:r>
        <w:t xml:space="preserve">Representing water scarcity in future agricultural assessments</w:t>
      </w:r>
      <w:r>
        <w:t xml:space="preserve">, Anthropocene. 18 (2017) 15–26. doi:</w:t>
      </w:r>
      <w:hyperlink r:id="rId35">
        <w:r>
          <w:rPr>
            <w:rStyle w:val="Hyperlink"/>
          </w:rPr>
          <w:t xml:space="preserve">10.1016/j.ancene.2017.05.002</w:t>
        </w:r>
      </w:hyperlink>
      <w:r>
        <w:t xml:space="preserve">.</w:t>
      </w:r>
    </w:p>
    <w:bookmarkEnd w:id="36"/>
    <w:bookmarkStart w:id="38" w:name="ref-Bouizrou2021"/>
    <w:p>
      <w:pPr>
        <w:pStyle w:val="Bibliography"/>
      </w:pPr>
      <w:r>
        <w:t xml:space="preserve">[2]</w:t>
      </w:r>
      <w:r>
        <w:t xml:space="preserve"> </w:t>
      </w:r>
      <w:r>
        <w:t xml:space="preserve">	</w:t>
      </w:r>
      <w:r>
        <w:t xml:space="preserve">I. Bouizrou, N. Chahinian, J.L. Perrin, R. Müller, N. Rais,</w:t>
      </w:r>
      <w:r>
        <w:t xml:space="preserve"> </w:t>
      </w:r>
      <w:r>
        <w:t xml:space="preserve">Network representation in hydrological modelling on urban catchments in data-scarce contexts: A case study on the Oued Fez catchment (Morocco)</w:t>
      </w:r>
      <w:r>
        <w:t xml:space="preserve">, J. Hydrol. Reg. Stud. 34 (2021). doi:</w:t>
      </w:r>
      <w:hyperlink r:id="rId37">
        <w:r>
          <w:rPr>
            <w:rStyle w:val="Hyperlink"/>
          </w:rPr>
          <w:t xml:space="preserve">10.1016/j.ejrh.2021.100800</w:t>
        </w:r>
      </w:hyperlink>
      <w:r>
        <w:t xml:space="preserve">.</w:t>
      </w:r>
    </w:p>
    <w:bookmarkEnd w:id="38"/>
    <w:bookmarkStart w:id="40" w:name="ref-Birawat2021"/>
    <w:p>
      <w:pPr>
        <w:pStyle w:val="Bibliography"/>
      </w:pPr>
      <w:r>
        <w:t xml:space="preserve">[3]</w:t>
      </w:r>
      <w:r>
        <w:t xml:space="preserve"> </w:t>
      </w:r>
      <w:r>
        <w:t xml:space="preserve">	</w:t>
      </w:r>
      <w:r>
        <w:t xml:space="preserve">K.K. Birawat, T. Hymavathi, M. C.Nachiyar, N.A. Mayaja, C.V. Srinivasa,</w:t>
      </w:r>
      <w:r>
        <w:t xml:space="preserve"> </w:t>
      </w:r>
      <w:r>
        <w:t xml:space="preserve">Impact of urbanisation on lakes—a study of Bengaluru lakes through water quality index (WQI) and overall index of pollution (OIP)</w:t>
      </w:r>
      <w:r>
        <w:t xml:space="preserve">, Environ. Monit. Assess. 193 (2021) 1–20. doi:</w:t>
      </w:r>
      <w:hyperlink r:id="rId39">
        <w:r>
          <w:rPr>
            <w:rStyle w:val="Hyperlink"/>
          </w:rPr>
          <w:t xml:space="preserve">10.1007/s10661-021-09131-w</w:t>
        </w:r>
      </w:hyperlink>
      <w:r>
        <w:t xml:space="preserve">.</w:t>
      </w:r>
    </w:p>
    <w:bookmarkEnd w:id="40"/>
    <w:bookmarkStart w:id="42" w:name="ref-Klein1979"/>
    <w:p>
      <w:pPr>
        <w:pStyle w:val="Bibliography"/>
      </w:pPr>
      <w:r>
        <w:t xml:space="preserve">[4]</w:t>
      </w:r>
      <w:r>
        <w:t xml:space="preserve"> </w:t>
      </w:r>
      <w:r>
        <w:t xml:space="preserve">	</w:t>
      </w:r>
      <w:r>
        <w:t xml:space="preserve">R.D. Klein,</w:t>
      </w:r>
      <w:r>
        <w:t xml:space="preserve"> </w:t>
      </w:r>
      <w:r>
        <w:t xml:space="preserve">Urbanization and Stream Quality Impairment</w:t>
      </w:r>
      <w:r>
        <w:t xml:space="preserve">, JAWRA J. Am. Water Resour. Assoc. 15 (1979) 948–963. doi:</w:t>
      </w:r>
      <w:hyperlink r:id="rId41">
        <w:r>
          <w:rPr>
            <w:rStyle w:val="Hyperlink"/>
          </w:rPr>
          <w:t xml:space="preserve">10.1111/j.1752-1688.1979.tb01074.x</w:t>
        </w:r>
      </w:hyperlink>
      <w:r>
        <w:t xml:space="preserve">.</w:t>
      </w:r>
    </w:p>
    <w:bookmarkEnd w:id="42"/>
    <w:bookmarkStart w:id="44" w:name="ref-Wolfram2021"/>
    <w:p>
      <w:pPr>
        <w:pStyle w:val="Bibliography"/>
      </w:pPr>
      <w:r>
        <w:t xml:space="preserve">[5]</w:t>
      </w:r>
      <w:r>
        <w:t xml:space="preserve"> </w:t>
      </w:r>
      <w:r>
        <w:t xml:space="preserve">	</w:t>
      </w:r>
      <w:r>
        <w:t xml:space="preserve">J. Wolfram, S. Stehle, S. Bub, L.L. Petschick, R. Schulz,</w:t>
      </w:r>
      <w:r>
        <w:t xml:space="preserve"> </w:t>
      </w:r>
      <w:r>
        <w:t xml:space="preserve">Water quality and ecological risks in European surface waters – Monitoring improves while water quality decreases</w:t>
      </w:r>
      <w:r>
        <w:t xml:space="preserve">, Environ. Int. 152 (2021) 106479. doi:</w:t>
      </w:r>
      <w:hyperlink r:id="rId43">
        <w:r>
          <w:rPr>
            <w:rStyle w:val="Hyperlink"/>
          </w:rPr>
          <w:t xml:space="preserve">10.1016/j.envint.2021.106479</w:t>
        </w:r>
      </w:hyperlink>
      <w:r>
        <w:t xml:space="preserve">.</w:t>
      </w:r>
    </w:p>
    <w:bookmarkEnd w:id="44"/>
    <w:bookmarkStart w:id="46" w:name="ref-Clapcott2012"/>
    <w:p>
      <w:pPr>
        <w:pStyle w:val="Bibliography"/>
      </w:pPr>
      <w:r>
        <w:t xml:space="preserve">[6]</w:t>
      </w:r>
      <w:r>
        <w:t xml:space="preserve"> </w:t>
      </w:r>
      <w:r>
        <w:t xml:space="preserve">	</w:t>
      </w:r>
      <w:r>
        <w:t xml:space="preserve">J.E. Clapcott, K.J. Collier, R.G. Death, E.O. Goodwin, J.S. Harding, D. Kelly, et al.,</w:t>
      </w:r>
      <w:r>
        <w:t xml:space="preserve"> </w:t>
      </w:r>
      <w:r>
        <w:t xml:space="preserve">Quantifying relationships between land-use gradients and structural and functional indicators of stream ecological integrity</w:t>
      </w:r>
      <w:r>
        <w:t xml:space="preserve">, Freshw. Biol. 57 (2012) 74–90. doi:</w:t>
      </w:r>
      <w:hyperlink r:id="rId45">
        <w:r>
          <w:rPr>
            <w:rStyle w:val="Hyperlink"/>
          </w:rPr>
          <w:t xml:space="preserve">10.1111/j.1365-2427.2011.02696.x</w:t>
        </w:r>
      </w:hyperlink>
      <w:r>
        <w:t xml:space="preserve">.</w:t>
      </w:r>
    </w:p>
    <w:bookmarkEnd w:id="46"/>
    <w:bookmarkStart w:id="48" w:name="ref-Flinders2008"/>
    <w:p>
      <w:pPr>
        <w:pStyle w:val="Bibliography"/>
      </w:pPr>
      <w:r>
        <w:t xml:space="preserve">[7]</w:t>
      </w:r>
      <w:r>
        <w:t xml:space="preserve"> </w:t>
      </w:r>
      <w:r>
        <w:t xml:space="preserve">	</w:t>
      </w:r>
      <w:r>
        <w:t xml:space="preserve">C.A. Flinders, R.J. Horwitz, T. Belton,</w:t>
      </w:r>
      <w:r>
        <w:t xml:space="preserve"> </w:t>
      </w:r>
      <w:r>
        <w:t xml:space="preserve">Relationship of fish and macroinvertebrate communities in the mid-Atlantic uplands: Implications for integrated assessments</w:t>
      </w:r>
      <w:r>
        <w:t xml:space="preserve">, Ecol. Indic. 8 (2008) 588–598. doi:</w:t>
      </w:r>
      <w:hyperlink r:id="rId47">
        <w:r>
          <w:rPr>
            <w:rStyle w:val="Hyperlink"/>
          </w:rPr>
          <w:t xml:space="preserve">10.1016/j.ecolind.2007.08.004</w:t>
        </w:r>
      </w:hyperlink>
      <w:r>
        <w:t xml:space="preserve">.</w:t>
      </w:r>
    </w:p>
    <w:bookmarkEnd w:id="48"/>
    <w:bookmarkStart w:id="50" w:name="ref-Alvareda2020"/>
    <w:p>
      <w:pPr>
        <w:pStyle w:val="Bibliography"/>
      </w:pPr>
      <w:r>
        <w:t xml:space="preserve">[8]</w:t>
      </w:r>
      <w:r>
        <w:t xml:space="preserve"> </w:t>
      </w:r>
      <w:r>
        <w:t xml:space="preserve">	</w:t>
      </w:r>
      <w:r>
        <w:t xml:space="preserve">E. Alvareda, C. Lucas, M. Paradiso, A. Piperno, P. Gamazo, V. Erasun, et al.,</w:t>
      </w:r>
      <w:r>
        <w:t xml:space="preserve"> </w:t>
      </w:r>
      <w:r>
        <w:t xml:space="preserve">Correction to: Water quality evaluation of two urban streams in Northwest Uruguay: are national regulations for urban stream quality sufficient? (Environmental Monitoring and Assessment, (2020), 192, 10, (661), 10.1007/s10661-020-08614-6)</w:t>
      </w:r>
      <w:r>
        <w:t xml:space="preserve">, Environ. Monit. Assess. 192 (2020). doi:</w:t>
      </w:r>
      <w:hyperlink r:id="rId49">
        <w:r>
          <w:rPr>
            <w:rStyle w:val="Hyperlink"/>
          </w:rPr>
          <w:t xml:space="preserve">10.1007/s10661-020-08657-9</w:t>
        </w:r>
      </w:hyperlink>
      <w:r>
        <w:t xml:space="preserve">.</w:t>
      </w:r>
    </w:p>
    <w:bookmarkEnd w:id="50"/>
    <w:bookmarkStart w:id="52" w:name="ref-Wu2020"/>
    <w:p>
      <w:pPr>
        <w:pStyle w:val="Bibliography"/>
      </w:pPr>
      <w:r>
        <w:t xml:space="preserve">[9]</w:t>
      </w:r>
      <w:r>
        <w:t xml:space="preserve"> </w:t>
      </w:r>
      <w:r>
        <w:t xml:space="preserve">	</w:t>
      </w:r>
      <w:r>
        <w:t xml:space="preserve">J. Wu, R. Mao, M. Li, J. Xia, J. Song, D. Cheng, et al.,</w:t>
      </w:r>
      <w:r>
        <w:t xml:space="preserve"> </w:t>
      </w:r>
      <w:r>
        <w:t xml:space="preserve">Assessment of aquatic ecological health based on determination of biological community variability of fish and macroinvertebrates in the Weihe River Basin, China</w:t>
      </w:r>
      <w:r>
        <w:t xml:space="preserve">, J. Environ. Manage. 267 (2020) 110651. doi:</w:t>
      </w:r>
      <w:hyperlink r:id="rId51">
        <w:r>
          <w:rPr>
            <w:rStyle w:val="Hyperlink"/>
          </w:rPr>
          <w:t xml:space="preserve">10.1016/j.jenvman.2020.110651</w:t>
        </w:r>
      </w:hyperlink>
      <w:r>
        <w:t xml:space="preserve">.</w:t>
      </w:r>
    </w:p>
    <w:bookmarkEnd w:id="52"/>
    <w:bookmarkStart w:id="54" w:name="ref-Boulton1999"/>
    <w:p>
      <w:pPr>
        <w:pStyle w:val="Bibliography"/>
      </w:pPr>
      <w:r>
        <w:t xml:space="preserve">[10]</w:t>
      </w:r>
      <w:r>
        <w:t xml:space="preserve"> </w:t>
      </w:r>
      <w:r>
        <w:t xml:space="preserve">	</w:t>
      </w:r>
      <w:r>
        <w:t xml:space="preserve">A.J. Boulton,</w:t>
      </w:r>
      <w:r>
        <w:t xml:space="preserve"> </w:t>
      </w:r>
      <w:r>
        <w:t xml:space="preserve">An overview of river health assessment: Philosophies, practice, problems and prognosis</w:t>
      </w:r>
      <w:r>
        <w:t xml:space="preserve">, Freshw. Biol. 41 (1999) 469–479. doi:</w:t>
      </w:r>
      <w:hyperlink r:id="rId53">
        <w:r>
          <w:rPr>
            <w:rStyle w:val="Hyperlink"/>
          </w:rPr>
          <w:t xml:space="preserve">10.1046/j.1365-2427.1999.00443.x</w:t>
        </w:r>
      </w:hyperlink>
      <w:r>
        <w:t xml:space="preserve">.</w:t>
      </w:r>
    </w:p>
    <w:bookmarkEnd w:id="54"/>
    <w:bookmarkEnd w:id="55"/>
    <w:bookmarkEnd w:id="56"/>
    <w:sectPr w:rsidR="00070B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523E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5E69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CE4A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A0A7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8A6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148B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8A1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38B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4C46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5ADF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2021-11-29T02:51:35Z</dcterms:created>
  <dcterms:modified xsi:type="dcterms:W3CDTF">2021-11-29T02:51:35Z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 (2).bib</vt:lpwstr>
  </property>
  <property fmtid="{D5CDD505-2E9C-101B-9397-08002B2CF9AE}" pid="3" name="csl">
    <vt:lpwstr>../elsevier_style.csl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