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E79"/>
          <w:sz w:val="40"/>
        </w:rPr>
        <w:t>LAPORAN AUDIT KESELAMATAN SIBER</w:t>
        <w:br/>
        <w:t>CYBER SECURITY AUDIT REPORT</w:t>
      </w:r>
    </w:p>
    <w:p/>
    <w:p>
      <w:pPr>
        <w:jc w:val="center"/>
      </w:pPr>
      <w:r>
        <w:rPr>
          <w:sz w:val="28"/>
        </w:rPr>
        <w:t>Akta Keselamatan Siber 2024 (Akta 854)</w:t>
        <w:br/>
        <w:t>Cyber Security Act 2024 (Act 854)</w:t>
      </w:r>
    </w:p>
    <w:p/>
    <w:tbl>
      <w:tblPr>
        <w:tblStyle w:val="TableGrid"/>
        <w:tblW w:type="auto" w:w="0"/>
        <w:jc w:val="center"/>
        <w:tblLook w:firstColumn="1" w:firstRow="1" w:lastColumn="0" w:lastRow="0" w:noHBand="0" w:noVBand="1" w:val="04A0"/>
      </w:tblPr>
      <w:tblGrid>
        <w:gridCol w:w="4320"/>
        <w:gridCol w:w="4320"/>
      </w:tblGrid>
      <w:tr>
        <w:tc>
          <w:tcPr>
            <w:tcW w:type="dxa" w:w="4535"/>
            <w:shd w:fill="1F4E79" w:val="clear"/>
          </w:tcPr>
          <w:p>
            <w:pPr/>
            <w:r>
              <w:rPr>
                <w:b/>
                <w:color w:val="FFFFFF"/>
                <w:sz w:val="18"/>
              </w:rPr>
              <w:t>Butiran / Field</w:t>
            </w:r>
          </w:p>
        </w:tc>
        <w:tc>
          <w:tcPr>
            <w:tcW w:type="dxa" w:w="5669"/>
            <w:shd w:fill="1F4E79" w:val="clear"/>
          </w:tcPr>
          <w:p>
            <w:pPr/>
            <w:r>
              <w:rPr>
                <w:b/>
                <w:color w:val="FFFFFF"/>
                <w:sz w:val="18"/>
              </w:rPr>
              <w:t>Nilai / Value</w:t>
            </w:r>
          </w:p>
        </w:tc>
      </w:tr>
      <w:tr>
        <w:tc>
          <w:tcPr>
            <w:tcW w:type="dxa" w:w="4535"/>
          </w:tcPr>
          <w:p>
            <w:r>
              <w:rPr>
                <w:sz w:val="18"/>
              </w:rPr>
              <w:t>Nama Entiti NCII / NCII Entity Name</w:t>
            </w:r>
          </w:p>
        </w:tc>
        <w:tc>
          <w:tcPr>
            <w:tcW w:type="dxa" w:w="5669"/>
          </w:tcPr>
          <w:p>
            <w:r>
              <w:rPr>
                <w:sz w:val="18"/>
              </w:rPr>
              <w:t>Syarikat Tenaga Siber Sdn Bhd</w:t>
            </w:r>
          </w:p>
        </w:tc>
      </w:tr>
      <w:tr>
        <w:tc>
          <w:tcPr>
            <w:tcW w:type="dxa" w:w="4535"/>
            <w:shd w:fill="F2F2F2" w:val="clear"/>
          </w:tcPr>
          <w:p>
            <w:r>
              <w:rPr>
                <w:sz w:val="18"/>
              </w:rPr>
              <w:t>Sektor NCII / NCII Sector</w:t>
            </w:r>
          </w:p>
        </w:tc>
        <w:tc>
          <w:tcPr>
            <w:tcW w:type="dxa" w:w="5669"/>
            <w:shd w:fill="F2F2F2" w:val="clear"/>
          </w:tcPr>
          <w:p>
            <w:r>
              <w:rPr>
                <w:sz w:val="18"/>
              </w:rPr>
              <w:t>Tenaga / Energy</w:t>
            </w:r>
          </w:p>
        </w:tc>
      </w:tr>
      <w:tr>
        <w:tc>
          <w:tcPr>
            <w:tcW w:type="dxa" w:w="4535"/>
          </w:tcPr>
          <w:p>
            <w:r>
              <w:rPr>
                <w:sz w:val="18"/>
              </w:rPr>
              <w:t>Ketua Sektor / Sector Lead</w:t>
            </w:r>
          </w:p>
        </w:tc>
        <w:tc>
          <w:tcPr>
            <w:tcW w:type="dxa" w:w="5669"/>
          </w:tcPr>
          <w:p>
            <w:r>
              <w:rPr>
                <w:sz w:val="18"/>
              </w:rPr>
              <w:t>Suruhanjaya Tenaga / Energy Commission (ST)</w:t>
            </w:r>
          </w:p>
        </w:tc>
      </w:tr>
      <w:tr>
        <w:tc>
          <w:tcPr>
            <w:tcW w:type="dxa" w:w="4535"/>
            <w:shd w:fill="F2F2F2" w:val="clear"/>
          </w:tcPr>
          <w:p>
            <w:r>
              <w:rPr>
                <w:sz w:val="18"/>
              </w:rPr>
              <w:t>Bil. Sistem NCII / NCII Systems Count</w:t>
            </w:r>
          </w:p>
        </w:tc>
        <w:tc>
          <w:tcPr>
            <w:tcW w:type="dxa" w:w="5669"/>
            <w:shd w:fill="F2F2F2" w:val="clear"/>
          </w:tcPr>
          <w:p>
            <w:r>
              <w:rPr>
                <w:sz w:val="18"/>
              </w:rPr>
              <w:t>4 sistem NCII</w:t>
            </w:r>
          </w:p>
        </w:tc>
      </w:tr>
      <w:tr>
        <w:tc>
          <w:tcPr>
            <w:tcW w:type="dxa" w:w="4535"/>
          </w:tcPr>
          <w:p>
            <w:r>
              <w:rPr>
                <w:sz w:val="18"/>
              </w:rPr>
              <w:t>Tempoh Penilaian / Assessment Period</w:t>
            </w:r>
          </w:p>
        </w:tc>
        <w:tc>
          <w:tcPr>
            <w:tcW w:type="dxa" w:w="5669"/>
          </w:tcPr>
          <w:p>
            <w:r>
              <w:rPr>
                <w:sz w:val="18"/>
              </w:rPr>
              <w:t>06/01/2026 hingga 14/02/2026</w:t>
            </w:r>
          </w:p>
        </w:tc>
      </w:tr>
      <w:tr>
        <w:tc>
          <w:tcPr>
            <w:tcW w:type="dxa" w:w="4535"/>
            <w:shd w:fill="F2F2F2" w:val="clear"/>
          </w:tcPr>
          <w:p>
            <w:r>
              <w:rPr>
                <w:sz w:val="18"/>
              </w:rPr>
              <w:t>Tarikh Laporan / Report Date</w:t>
            </w:r>
          </w:p>
        </w:tc>
        <w:tc>
          <w:tcPr>
            <w:tcW w:type="dxa" w:w="5669"/>
            <w:shd w:fill="F2F2F2" w:val="clear"/>
          </w:tcPr>
          <w:p>
            <w:r>
              <w:rPr>
                <w:sz w:val="18"/>
              </w:rPr>
              <w:t>24/02/2026</w:t>
            </w:r>
          </w:p>
        </w:tc>
      </w:tr>
      <w:tr>
        <w:tc>
          <w:tcPr>
            <w:tcW w:type="dxa" w:w="4535"/>
          </w:tcPr>
          <w:p>
            <w:r>
              <w:rPr>
                <w:sz w:val="18"/>
              </w:rPr>
              <w:t>Firma Audit / Audit Firm</w:t>
            </w:r>
          </w:p>
        </w:tc>
        <w:tc>
          <w:tcPr>
            <w:tcW w:type="dxa" w:w="5669"/>
          </w:tcPr>
          <w:p>
            <w:r>
              <w:rPr>
                <w:sz w:val="18"/>
              </w:rPr>
              <w:t>CyberAssurance Partners Sdn Bhd</w:t>
            </w:r>
          </w:p>
        </w:tc>
      </w:tr>
      <w:tr>
        <w:tc>
          <w:tcPr>
            <w:tcW w:type="dxa" w:w="4535"/>
            <w:shd w:fill="F2F2F2" w:val="clear"/>
          </w:tcPr>
          <w:p>
            <w:r>
              <w:rPr>
                <w:sz w:val="18"/>
              </w:rPr>
              <w:t>Rakan Kongsi Jaminan / Engagement Partner</w:t>
            </w:r>
          </w:p>
        </w:tc>
        <w:tc>
          <w:tcPr>
            <w:tcW w:type="dxa" w:w="5669"/>
            <w:shd w:fill="F2F2F2" w:val="clear"/>
          </w:tcPr>
          <w:p>
            <w:r>
              <w:rPr>
                <w:sz w:val="18"/>
              </w:rPr>
              <w:t>Dato' Ir. Razlan Hashim, CISA, CISSP, PMP</w:t>
            </w:r>
          </w:p>
        </w:tc>
      </w:tr>
      <w:tr>
        <w:tc>
          <w:tcPr>
            <w:tcW w:type="dxa" w:w="4535"/>
          </w:tcPr>
          <w:p>
            <w:r>
              <w:rPr>
                <w:sz w:val="18"/>
              </w:rPr>
              <w:t>Ketua Juruaudit / Lead Auditor</w:t>
            </w:r>
          </w:p>
        </w:tc>
        <w:tc>
          <w:tcPr>
            <w:tcW w:type="dxa" w:w="5669"/>
          </w:tcPr>
          <w:p>
            <w:r>
              <w:rPr>
                <w:sz w:val="18"/>
              </w:rPr>
              <w:t>Ahmad Faizal bin Mohd Noor, CISA, CISM, ISO 27001 LA</w:t>
            </w:r>
          </w:p>
        </w:tc>
      </w:tr>
      <w:tr>
        <w:tc>
          <w:tcPr>
            <w:tcW w:type="dxa" w:w="4535"/>
            <w:shd w:fill="F2F2F2" w:val="clear"/>
          </w:tcPr>
          <w:p>
            <w:r>
              <w:rPr>
                <w:sz w:val="18"/>
              </w:rPr>
              <w:t>Pengamal Undang-Undang / Legal Practitioner (Mode A)</w:t>
            </w:r>
          </w:p>
        </w:tc>
        <w:tc>
          <w:tcPr>
            <w:tcW w:type="dxa" w:w="5669"/>
            <w:shd w:fill="F2F2F2" w:val="clear"/>
          </w:tcPr>
          <w:p>
            <w:r>
              <w:rPr>
                <w:sz w:val="18"/>
              </w:rPr>
              <w:t>Puan Siti Nurhaliza binti Ahmad, Malaysian Bar — Azman Rahim &amp; Partners</w:t>
            </w:r>
          </w:p>
        </w:tc>
      </w:tr>
      <w:tr>
        <w:tc>
          <w:tcPr>
            <w:tcW w:type="dxa" w:w="4535"/>
          </w:tcPr>
          <w:p>
            <w:r>
              <w:rPr>
                <w:sz w:val="18"/>
              </w:rPr>
              <w:t>No. Rujukan / Reference Number</w:t>
            </w:r>
          </w:p>
        </w:tc>
        <w:tc>
          <w:tcPr>
            <w:tcW w:type="dxa" w:w="5669"/>
          </w:tcPr>
          <w:p>
            <w:r>
              <w:rPr>
                <w:sz w:val="18"/>
              </w:rPr>
              <w:t>NACSA-AUDIT-2026-0147</w:t>
            </w:r>
          </w:p>
        </w:tc>
      </w:tr>
    </w:tbl>
    <w:p/>
    <w:p>
      <w:pPr>
        <w:jc w:val="center"/>
      </w:pPr>
      <w:r>
        <w:rPr>
          <w:b/>
          <w:color w:val="8B0000"/>
          <w:sz w:val="24"/>
        </w:rPr>
        <w:t>SULIT / CONFIDENTIAL</w:t>
      </w:r>
    </w:p>
    <w:p>
      <w:r>
        <w:br w:type="page"/>
      </w:r>
    </w:p>
    <w:p>
      <w:pPr>
        <w:pStyle w:val="Heading1"/>
      </w:pPr>
      <w:r>
        <w:t>Pengedaran dan Kawalan Dokumen / Distribution and Document Control</w:t>
      </w:r>
    </w:p>
    <w:p>
      <w:pPr>
        <w:pStyle w:val="Heading2"/>
      </w:pPr>
      <w:r>
        <w:t>Senarai Pengedaran / Distribution List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67"/>
            <w:shd w:fill="1F4E79" w:val="clear"/>
          </w:tcPr>
          <w:p>
            <w:pPr/>
            <w:r>
              <w:rPr>
                <w:b/>
                <w:color w:val="FFFFFF"/>
                <w:sz w:val="18"/>
              </w:rPr>
              <w:t>#</w:t>
            </w:r>
          </w:p>
        </w:tc>
        <w:tc>
          <w:tcPr>
            <w:tcW w:type="dxa" w:w="3402"/>
            <w:shd w:fill="1F4E79" w:val="clear"/>
          </w:tcPr>
          <w:p>
            <w:pPr/>
            <w:r>
              <w:rPr>
                <w:b/>
                <w:color w:val="FFFFFF"/>
                <w:sz w:val="18"/>
              </w:rPr>
              <w:t>Penerima / Recipient</w:t>
            </w:r>
          </w:p>
        </w:tc>
        <w:tc>
          <w:tcPr>
            <w:tcW w:type="dxa" w:w="2835"/>
            <w:shd w:fill="1F4E79" w:val="clear"/>
          </w:tcPr>
          <w:p>
            <w:pPr/>
            <w:r>
              <w:rPr>
                <w:b/>
                <w:color w:val="FFFFFF"/>
                <w:sz w:val="18"/>
              </w:rPr>
              <w:t>Organisasi / Organisation</w:t>
            </w:r>
          </w:p>
        </w:tc>
        <w:tc>
          <w:tcPr>
            <w:tcW w:type="dxa" w:w="1134"/>
            <w:shd w:fill="1F4E79" w:val="clear"/>
          </w:tcPr>
          <w:p>
            <w:pPr/>
            <w:r>
              <w:rPr>
                <w:b/>
                <w:color w:val="FFFFFF"/>
                <w:sz w:val="18"/>
              </w:rPr>
              <w:t>Salinan / Copy #</w:t>
            </w:r>
          </w:p>
        </w:tc>
      </w:tr>
      <w:tr>
        <w:tc>
          <w:tcPr>
            <w:tcW w:type="dxa" w:w="567"/>
          </w:tcPr>
          <w:p>
            <w:r>
              <w:rPr>
                <w:sz w:val="18"/>
              </w:rPr>
              <w:t>1</w:t>
            </w:r>
          </w:p>
        </w:tc>
        <w:tc>
          <w:tcPr>
            <w:tcW w:type="dxa" w:w="3402"/>
          </w:tcPr>
          <w:p>
            <w:r>
              <w:rPr>
                <w:sz w:val="18"/>
              </w:rPr>
              <w:t>Ketua Eksekutif NACSA / Chief Executive</w:t>
            </w:r>
          </w:p>
        </w:tc>
        <w:tc>
          <w:tcPr>
            <w:tcW w:type="dxa" w:w="2835"/>
          </w:tcPr>
          <w:p>
            <w:r>
              <w:rPr>
                <w:sz w:val="18"/>
              </w:rPr>
              <w:t>NACSA</w:t>
            </w:r>
          </w:p>
        </w:tc>
        <w:tc>
          <w:tcPr>
            <w:tcW w:type="dxa" w:w="1134"/>
          </w:tcPr>
          <w:p>
            <w:r>
              <w:rPr>
                <w:sz w:val="18"/>
              </w:rPr>
              <w:t>1</w:t>
            </w:r>
          </w:p>
        </w:tc>
      </w:tr>
      <w:tr>
        <w:tc>
          <w:tcPr>
            <w:tcW w:type="dxa" w:w="567"/>
            <w:shd w:fill="F2F2F2" w:val="clear"/>
          </w:tcPr>
          <w:p>
            <w:r>
              <w:rPr>
                <w:sz w:val="18"/>
              </w:rPr>
              <w:t>2</w:t>
            </w:r>
          </w:p>
        </w:tc>
        <w:tc>
          <w:tcPr>
            <w:tcW w:type="dxa" w:w="3402"/>
            <w:shd w:fill="F2F2F2" w:val="clear"/>
          </w:tcPr>
          <w:p>
            <w:r>
              <w:rPr>
                <w:sz w:val="18"/>
              </w:rPr>
              <w:t>Suruhanjaya Tenaga / Energy Commission</w:t>
            </w:r>
          </w:p>
        </w:tc>
        <w:tc>
          <w:tcPr>
            <w:tcW w:type="dxa" w:w="2835"/>
            <w:shd w:fill="F2F2F2" w:val="clear"/>
          </w:tcPr>
          <w:p>
            <w:r>
              <w:rPr>
                <w:sz w:val="18"/>
              </w:rPr>
              <w:t>Ketua Sektor</w:t>
            </w:r>
          </w:p>
        </w:tc>
        <w:tc>
          <w:tcPr>
            <w:tcW w:type="dxa" w:w="1134"/>
            <w:shd w:fill="F2F2F2" w:val="clear"/>
          </w:tcPr>
          <w:p>
            <w:r>
              <w:rPr>
                <w:sz w:val="18"/>
              </w:rPr>
              <w:t>2</w:t>
            </w:r>
          </w:p>
        </w:tc>
      </w:tr>
      <w:tr>
        <w:tc>
          <w:tcPr>
            <w:tcW w:type="dxa" w:w="567"/>
          </w:tcPr>
          <w:p>
            <w:r>
              <w:rPr>
                <w:sz w:val="18"/>
              </w:rPr>
              <w:t>3</w:t>
            </w:r>
          </w:p>
        </w:tc>
        <w:tc>
          <w:tcPr>
            <w:tcW w:type="dxa" w:w="3402"/>
          </w:tcPr>
          <w:p>
            <w:r>
              <w:rPr>
                <w:sz w:val="18"/>
              </w:rPr>
              <w:t>Pengurusan Syarikat Tenaga Siber</w:t>
            </w:r>
          </w:p>
        </w:tc>
        <w:tc>
          <w:tcPr>
            <w:tcW w:type="dxa" w:w="2835"/>
          </w:tcPr>
          <w:p>
            <w:r>
              <w:rPr>
                <w:sz w:val="18"/>
              </w:rPr>
              <w:t>Entiti NCII</w:t>
            </w:r>
          </w:p>
        </w:tc>
        <w:tc>
          <w:tcPr>
            <w:tcW w:type="dxa" w:w="1134"/>
          </w:tcPr>
          <w:p>
            <w:r>
              <w:rPr>
                <w:sz w:val="18"/>
              </w:rPr>
              <w:t>3</w:t>
            </w:r>
          </w:p>
        </w:tc>
      </w:tr>
      <w:tr>
        <w:tc>
          <w:tcPr>
            <w:tcW w:type="dxa" w:w="567"/>
            <w:shd w:fill="F2F2F2" w:val="clear"/>
          </w:tcPr>
          <w:p>
            <w:r>
              <w:rPr>
                <w:sz w:val="18"/>
              </w:rPr>
              <w:t>4</w:t>
            </w:r>
          </w:p>
        </w:tc>
        <w:tc>
          <w:tcPr>
            <w:tcW w:type="dxa" w:w="3402"/>
            <w:shd w:fill="F2F2F2" w:val="clear"/>
          </w:tcPr>
          <w:p>
            <w:r>
              <w:rPr>
                <w:sz w:val="18"/>
              </w:rPr>
              <w:t>Jawatankuasa Audit</w:t>
            </w:r>
          </w:p>
        </w:tc>
        <w:tc>
          <w:tcPr>
            <w:tcW w:type="dxa" w:w="2835"/>
            <w:shd w:fill="F2F2F2" w:val="clear"/>
          </w:tcPr>
          <w:p>
            <w:r>
              <w:rPr>
                <w:sz w:val="18"/>
              </w:rPr>
              <w:t>Syarikat Tenaga Siber</w:t>
            </w:r>
          </w:p>
        </w:tc>
        <w:tc>
          <w:tcPr>
            <w:tcW w:type="dxa" w:w="1134"/>
            <w:shd w:fill="F2F2F2" w:val="clear"/>
          </w:tcPr>
          <w:p>
            <w:r>
              <w:rPr>
                <w:sz w:val="18"/>
              </w:rPr>
              <w:t>4</w:t>
            </w:r>
          </w:p>
        </w:tc>
      </w:tr>
    </w:tbl>
    <w:p/>
    <w:p>
      <w:pPr>
        <w:pStyle w:val="Heading2"/>
      </w:pPr>
      <w:r>
        <w:t>Sejarah Versi / Version History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34"/>
            <w:shd w:fill="1F4E79" w:val="clear"/>
          </w:tcPr>
          <w:p>
            <w:pPr/>
            <w:r>
              <w:rPr>
                <w:b/>
                <w:color w:val="FFFFFF"/>
                <w:sz w:val="18"/>
              </w:rPr>
              <w:t>Versi / Version</w:t>
            </w:r>
          </w:p>
        </w:tc>
        <w:tc>
          <w:tcPr>
            <w:tcW w:type="dxa" w:w="1701"/>
            <w:shd w:fill="1F4E79" w:val="clear"/>
          </w:tcPr>
          <w:p>
            <w:pPr/>
            <w:r>
              <w:rPr>
                <w:b/>
                <w:color w:val="FFFFFF"/>
                <w:sz w:val="18"/>
              </w:rPr>
              <w:t>Tarikh / Date</w:t>
            </w:r>
          </w:p>
        </w:tc>
        <w:tc>
          <w:tcPr>
            <w:tcW w:type="dxa" w:w="2268"/>
            <w:shd w:fill="1F4E79" w:val="clear"/>
          </w:tcPr>
          <w:p>
            <w:pPr/>
            <w:r>
              <w:rPr>
                <w:b/>
                <w:color w:val="FFFFFF"/>
                <w:sz w:val="18"/>
              </w:rPr>
              <w:t>Penulis / Author</w:t>
            </w:r>
          </w:p>
        </w:tc>
        <w:tc>
          <w:tcPr>
            <w:tcW w:type="dxa" w:w="3969"/>
            <w:shd w:fill="1F4E79" w:val="clear"/>
          </w:tcPr>
          <w:p>
            <w:pPr/>
            <w:r>
              <w:rPr>
                <w:b/>
                <w:color w:val="FFFFFF"/>
                <w:sz w:val="18"/>
              </w:rPr>
              <w:t>Perihalan / Description</w:t>
            </w:r>
          </w:p>
        </w:tc>
      </w:tr>
      <w:tr>
        <w:tc>
          <w:tcPr>
            <w:tcW w:type="dxa" w:w="1134"/>
          </w:tcPr>
          <w:p>
            <w:r>
              <w:rPr>
                <w:sz w:val="18"/>
              </w:rPr>
              <w:t>0.1</w:t>
            </w:r>
          </w:p>
        </w:tc>
        <w:tc>
          <w:tcPr>
            <w:tcW w:type="dxa" w:w="1701"/>
          </w:tcPr>
          <w:p>
            <w:r>
              <w:rPr>
                <w:sz w:val="18"/>
              </w:rPr>
              <w:t>10/02/2026</w:t>
            </w:r>
          </w:p>
        </w:tc>
        <w:tc>
          <w:tcPr>
            <w:tcW w:type="dxa" w:w="2268"/>
          </w:tcPr>
          <w:p>
            <w:r>
              <w:rPr>
                <w:sz w:val="18"/>
              </w:rPr>
              <w:t>Ahmad Faizal</w:t>
            </w:r>
          </w:p>
        </w:tc>
        <w:tc>
          <w:tcPr>
            <w:tcW w:type="dxa" w:w="3969"/>
          </w:tcPr>
          <w:p>
            <w:r>
              <w:rPr>
                <w:sz w:val="18"/>
              </w:rPr>
              <w:t>Draf untuk semakan dalaman</w:t>
            </w:r>
          </w:p>
        </w:tc>
      </w:tr>
      <w:tr>
        <w:tc>
          <w:tcPr>
            <w:tcW w:type="dxa" w:w="1134"/>
            <w:shd w:fill="F2F2F2" w:val="clear"/>
          </w:tcPr>
          <w:p>
            <w:r>
              <w:rPr>
                <w:sz w:val="18"/>
              </w:rPr>
              <w:t>0.2</w:t>
            </w:r>
          </w:p>
        </w:tc>
        <w:tc>
          <w:tcPr>
            <w:tcW w:type="dxa" w:w="1701"/>
            <w:shd w:fill="F2F2F2" w:val="clear"/>
          </w:tcPr>
          <w:p>
            <w:r>
              <w:rPr>
                <w:sz w:val="18"/>
              </w:rPr>
              <w:t>17/02/2026</w:t>
            </w:r>
          </w:p>
        </w:tc>
        <w:tc>
          <w:tcPr>
            <w:tcW w:type="dxa" w:w="2268"/>
            <w:shd w:fill="F2F2F2" w:val="clear"/>
          </w:tcPr>
          <w:p>
            <w:r>
              <w:rPr>
                <w:sz w:val="18"/>
              </w:rPr>
              <w:t>Ahmad Faizal</w:t>
            </w:r>
          </w:p>
        </w:tc>
        <w:tc>
          <w:tcPr>
            <w:tcW w:type="dxa" w:w="3969"/>
            <w:shd w:fill="F2F2F2" w:val="clear"/>
          </w:tcPr>
          <w:p>
            <w:r>
              <w:rPr>
                <w:sz w:val="18"/>
              </w:rPr>
              <w:t>Semakan pengamal undang-undang</w:t>
            </w:r>
          </w:p>
        </w:tc>
      </w:tr>
      <w:tr>
        <w:tc>
          <w:tcPr>
            <w:tcW w:type="dxa" w:w="1134"/>
          </w:tcPr>
          <w:p>
            <w:r>
              <w:rPr>
                <w:sz w:val="18"/>
              </w:rPr>
              <w:t>1.0</w:t>
            </w:r>
          </w:p>
        </w:tc>
        <w:tc>
          <w:tcPr>
            <w:tcW w:type="dxa" w:w="1701"/>
          </w:tcPr>
          <w:p>
            <w:r>
              <w:rPr>
                <w:sz w:val="18"/>
              </w:rPr>
              <w:t>24/02/2026</w:t>
            </w:r>
          </w:p>
        </w:tc>
        <w:tc>
          <w:tcPr>
            <w:tcW w:type="dxa" w:w="2268"/>
          </w:tcPr>
          <w:p>
            <w:r>
              <w:rPr>
                <w:sz w:val="18"/>
              </w:rPr>
              <w:t>Ahmad Faizal</w:t>
            </w:r>
          </w:p>
        </w:tc>
        <w:tc>
          <w:tcPr>
            <w:tcW w:type="dxa" w:w="3969"/>
          </w:tcPr>
          <w:p>
            <w:r>
              <w:rPr>
                <w:sz w:val="18"/>
              </w:rPr>
              <w:t>Muktamad — dihantar kepada KE NACSA</w:t>
            </w:r>
          </w:p>
        </w:tc>
      </w:tr>
    </w:tbl>
    <w:p>
      <w:r>
        <w:br w:type="page"/>
      </w:r>
    </w:p>
    <w:p>
      <w:pPr>
        <w:pStyle w:val="Heading1"/>
      </w:pPr>
      <w:r>
        <w:t>Jadual Kandungan / Table of Contents</w:t>
      </w:r>
    </w:p>
    <w:p>
      <w:pPr>
        <w:pStyle w:val="ListNumber"/>
      </w:pPr>
      <w:r>
        <w:t>1. Ringkasan Eksekutif / Executive Summary</w:t>
      </w:r>
    </w:p>
    <w:p>
      <w:pPr>
        <w:pStyle w:val="ListNumber"/>
      </w:pPr>
      <w:r>
        <w:t>2. Skop dan Objektif Audit / Audit Scope and Objectives</w:t>
      </w:r>
    </w:p>
    <w:p>
      <w:pPr>
        <w:pStyle w:val="ListNumber"/>
      </w:pPr>
      <w:r>
        <w:t>3. Pendekatan Audit / Audit Approach and Methodology</w:t>
      </w:r>
    </w:p>
    <w:p>
      <w:pPr>
        <w:pStyle w:val="ListNumber"/>
      </w:pPr>
      <w:r>
        <w:t>4. Pematuhan Obligasi Berkanun / Statutory Obligation Compliance</w:t>
      </w:r>
    </w:p>
    <w:p>
      <w:pPr>
        <w:pStyle w:val="ListNumber"/>
      </w:pPr>
      <w:r>
        <w:t>5. Penilaian Liabiliti Pengarah (s52) / Director Liability Assessment</w:t>
      </w:r>
    </w:p>
    <w:p>
      <w:pPr>
        <w:pStyle w:val="ListNumber"/>
      </w:pPr>
      <w:r>
        <w:t>6. Penemuan Mengikut Domain CoP / Findings by CoP Domain (Tier 1)</w:t>
      </w:r>
    </w:p>
    <w:p>
      <w:pPr>
        <w:pStyle w:val="ListNumber"/>
      </w:pPr>
      <w:r>
        <w:t>7. Pematuhan Arahan Ketua Eksekutif / CE Directive Compliance</w:t>
      </w:r>
    </w:p>
    <w:p>
      <w:pPr>
        <w:pStyle w:val="ListNumber"/>
      </w:pPr>
      <w:r>
        <w:t>8. Profil Pematuhan Domain / Domain Compliance Profile</w:t>
      </w:r>
    </w:p>
    <w:p>
      <w:pPr>
        <w:pStyle w:val="ListNumber"/>
      </w:pPr>
      <w:r>
        <w:t>9. Ringkasan Penemuan / Finding Summary</w:t>
      </w:r>
    </w:p>
    <w:p>
      <w:pPr>
        <w:pStyle w:val="ListNumber"/>
      </w:pPr>
      <w:r>
        <w:t>10. Peluang Penambahbaikan / Improvement Opportunities (Tier 2)</w:t>
      </w:r>
    </w:p>
    <w:p>
      <w:pPr>
        <w:pStyle w:val="ListNumber"/>
      </w:pPr>
      <w:r>
        <w:t>11. Rumusan / Conclusion</w:t>
      </w:r>
    </w:p>
    <w:p>
      <w:pPr>
        <w:pStyle w:val="ListNumber"/>
      </w:pPr>
      <w:r>
        <w:t>12. Pelan Tindakan Pengurusan / Management Action Plan</w:t>
      </w:r>
    </w:p>
    <w:p>
      <w:pPr>
        <w:pStyle w:val="ListNumber"/>
      </w:pPr>
      <w:r>
        <w:t>Lampiran A — Senarai Sistem NCII / NCII System Register</w:t>
      </w:r>
    </w:p>
    <w:p>
      <w:pPr>
        <w:pStyle w:val="ListNumber"/>
      </w:pPr>
      <w:r>
        <w:t>Lampiran B — Pendedahan Penalti / Penalty Exposure Summary</w:t>
      </w:r>
    </w:p>
    <w:p>
      <w:pPr>
        <w:pStyle w:val="ListNumber"/>
      </w:pPr>
      <w:r>
        <w:t>Lampiran C — Peringkat Keterukan / Severity Definitions</w:t>
      </w:r>
    </w:p>
    <w:p>
      <w:pPr>
        <w:pStyle w:val="ListNumber"/>
      </w:pPr>
      <w:r>
        <w:t>Lampiran D — Glosari / Glossary</w:t>
      </w:r>
    </w:p>
    <w:p>
      <w:r>
        <w:br w:type="page"/>
      </w:r>
    </w:p>
    <w:p>
      <w:pPr>
        <w:pStyle w:val="Heading1"/>
      </w:pPr>
      <w:r>
        <w:t>1. Ringkasan Eksekutif / Executive Summary</w:t>
      </w:r>
    </w:p>
    <w:p>
      <w:r>
        <w:t>Syarikat Tenaga Siber Sdn Bhd ("STS" atau "Entiti") merupakan sebuah entiti NCII sektor tenaga yang beroperasi di bawah Suruhanjaya Tenaga sebagai ketua sektor. STS memiliki dan mengawal 4 sistem NCII yang ditetapkan: sistem kawalan SCADA, sistem pengurusan tenaga (EMS), platform grid pintar, dan rangkaian korporat. Ini merupakan audit keselamatan siber pertama bagi STS sejak pelantikannya sebagai entiti NCII.</w:t>
        <w:br/>
        <w:br/>
        <w:t>STS is a mid-tier energy sector NCII entity operating under the Energy Commission as sector lead. STS owns and controls 4 designated NCII systems: SCADA control system, energy management system (EMS), smart grid platform, and corporate network. This is the first cyber security audit since STS's designation as an NCII entity.</w:t>
      </w:r>
    </w:p>
    <w:p>
      <w:pPr>
        <w:pStyle w:val="Heading2"/>
      </w:pPr>
      <w:r>
        <w:t>1.1 Keseluruhan Postur Pematuhan / Overall Compliance Posture</w:t>
      </w:r>
    </w:p>
    <w:tbl>
      <w:tblPr>
        <w:tblStyle w:val="TableGrid"/>
        <w:tblW w:type="auto" w:w="0"/>
        <w:jc w:val="center"/>
        <w:tblLook w:firstColumn="1" w:firstRow="1" w:lastColumn="0" w:lastRow="0" w:noHBand="0" w:noVBand="1" w:val="04A0"/>
      </w:tblPr>
      <w:tblGrid>
        <w:gridCol w:w="4320"/>
        <w:gridCol w:w="4320"/>
      </w:tblGrid>
      <w:tr>
        <w:tc>
          <w:tcPr>
            <w:tcW w:type="dxa" w:w="4535"/>
            <w:shd w:fill="1F4E79" w:val="clear"/>
          </w:tcPr>
          <w:p>
            <w:pPr/>
            <w:r>
              <w:rPr>
                <w:b/>
                <w:color w:val="FFFFFF"/>
                <w:sz w:val="18"/>
              </w:rPr>
              <w:t>Metrik / Metric</w:t>
            </w:r>
          </w:p>
        </w:tc>
        <w:tc>
          <w:tcPr>
            <w:tcW w:type="dxa" w:w="4535"/>
            <w:shd w:fill="1F4E79" w:val="clear"/>
          </w:tcPr>
          <w:p>
            <w:pPr/>
            <w:r>
              <w:rPr>
                <w:b/>
                <w:color w:val="FFFFFF"/>
                <w:sz w:val="18"/>
              </w:rPr>
              <w:t>Nilai / Value</w:t>
            </w:r>
          </w:p>
        </w:tc>
      </w:tr>
      <w:tr>
        <w:tc>
          <w:tcPr>
            <w:tcW w:type="dxa" w:w="4535"/>
          </w:tcPr>
          <w:p>
            <w:r>
              <w:rPr>
                <w:sz w:val="18"/>
              </w:rPr>
              <w:t>Total Tier 1 CoP requirements assessed</w:t>
            </w:r>
          </w:p>
        </w:tc>
        <w:tc>
          <w:tcPr>
            <w:tcW w:type="dxa" w:w="4535"/>
          </w:tcPr>
          <w:p>
            <w:r>
              <w:rPr>
                <w:sz w:val="18"/>
              </w:rPr>
              <w:t>210 of 210</w:t>
            </w:r>
          </w:p>
        </w:tc>
      </w:tr>
      <w:tr>
        <w:tc>
          <w:tcPr>
            <w:tcW w:type="dxa" w:w="4535"/>
            <w:shd w:fill="F2F2F2" w:val="clear"/>
          </w:tcPr>
          <w:p>
            <w:r>
              <w:rPr>
                <w:sz w:val="18"/>
              </w:rPr>
              <w:t>Directive requirements assessed</w:t>
            </w:r>
          </w:p>
        </w:tc>
        <w:tc>
          <w:tcPr>
            <w:tcW w:type="dxa" w:w="4535"/>
            <w:shd w:fill="F2F2F2" w:val="clear"/>
          </w:tcPr>
          <w:p>
            <w:r>
              <w:rPr>
                <w:sz w:val="18"/>
              </w:rPr>
              <w:t>42 of 42</w:t>
            </w:r>
          </w:p>
        </w:tc>
      </w:tr>
      <w:tr>
        <w:tc>
          <w:tcPr>
            <w:tcW w:type="dxa" w:w="4535"/>
          </w:tcPr>
          <w:p>
            <w:r>
              <w:rPr>
                <w:sz w:val="18"/>
              </w:rPr>
              <w:t>Patuh (Compliant)</w:t>
            </w:r>
          </w:p>
        </w:tc>
        <w:tc>
          <w:tcPr>
            <w:tcW w:type="dxa" w:w="4535"/>
          </w:tcPr>
          <w:p>
            <w:r>
              <w:rPr>
                <w:sz w:val="18"/>
              </w:rPr>
              <w:t>168 (80.0%)</w:t>
            </w:r>
          </w:p>
        </w:tc>
      </w:tr>
      <w:tr>
        <w:tc>
          <w:tcPr>
            <w:tcW w:type="dxa" w:w="4535"/>
            <w:shd w:fill="F2F2F2" w:val="clear"/>
          </w:tcPr>
          <w:p>
            <w:r>
              <w:rPr>
                <w:sz w:val="18"/>
              </w:rPr>
              <w:t>Separa Patuh (Partially Compliant)</w:t>
            </w:r>
          </w:p>
        </w:tc>
        <w:tc>
          <w:tcPr>
            <w:tcW w:type="dxa" w:w="4535"/>
            <w:shd w:fill="F2F2F2" w:val="clear"/>
          </w:tcPr>
          <w:p>
            <w:r>
              <w:rPr>
                <w:sz w:val="18"/>
              </w:rPr>
              <w:t>24 (11.4%)</w:t>
            </w:r>
          </w:p>
        </w:tc>
      </w:tr>
      <w:tr>
        <w:tc>
          <w:tcPr>
            <w:tcW w:type="dxa" w:w="4535"/>
          </w:tcPr>
          <w:p>
            <w:r>
              <w:rPr>
                <w:sz w:val="18"/>
              </w:rPr>
              <w:t>Tidak Patuh (Non-Compliant)</w:t>
            </w:r>
          </w:p>
        </w:tc>
        <w:tc>
          <w:tcPr>
            <w:tcW w:type="dxa" w:w="4535"/>
          </w:tcPr>
          <w:p>
            <w:r>
              <w:rPr>
                <w:sz w:val="18"/>
              </w:rPr>
              <w:t>14 (6.7%)</w:t>
            </w:r>
          </w:p>
        </w:tc>
      </w:tr>
      <w:tr>
        <w:tc>
          <w:tcPr>
            <w:tcW w:type="dxa" w:w="4535"/>
            <w:shd w:fill="F2F2F2" w:val="clear"/>
          </w:tcPr>
          <w:p>
            <w:r>
              <w:rPr>
                <w:sz w:val="18"/>
              </w:rPr>
              <w:t>Tidak Berkenaan (Not Applicable)</w:t>
            </w:r>
          </w:p>
        </w:tc>
        <w:tc>
          <w:tcPr>
            <w:tcW w:type="dxa" w:w="4535"/>
            <w:shd w:fill="F2F2F2" w:val="clear"/>
          </w:tcPr>
          <w:p>
            <w:r>
              <w:rPr>
                <w:sz w:val="18"/>
              </w:rPr>
              <w:t>4 (1.9%)</w:t>
            </w:r>
          </w:p>
        </w:tc>
      </w:tr>
      <w:tr>
        <w:tc>
          <w:tcPr>
            <w:tcW w:type="dxa" w:w="4535"/>
          </w:tcPr>
          <w:p>
            <w:r>
              <w:rPr>
                <w:sz w:val="18"/>
              </w:rPr>
              <w:t>Tier 2 improvement opportunities identified</w:t>
            </w:r>
          </w:p>
        </w:tc>
        <w:tc>
          <w:tcPr>
            <w:tcW w:type="dxa" w:w="4535"/>
          </w:tcPr>
          <w:p>
            <w:r>
              <w:rPr>
                <w:sz w:val="18"/>
              </w:rPr>
              <w:t>3 of 18</w:t>
            </w:r>
          </w:p>
        </w:tc>
      </w:tr>
      <w:tr>
        <w:tc>
          <w:tcPr>
            <w:tcW w:type="dxa" w:w="4535"/>
            <w:shd w:fill="F2F2F2" w:val="clear"/>
          </w:tcPr>
          <w:p>
            <w:r>
              <w:rPr>
                <w:sz w:val="18"/>
              </w:rPr>
              <w:t>Pendapat Tambahan / Supplementary Opinion</w:t>
            </w:r>
          </w:p>
        </w:tc>
        <w:tc>
          <w:tcPr>
            <w:tcW w:type="dxa" w:w="4535"/>
            <w:shd w:fill="F2F2F2" w:val="clear"/>
          </w:tcPr>
          <w:p>
            <w:r>
              <w:rPr>
                <w:sz w:val="18"/>
              </w:rPr>
              <w:t>Perlu Penambahbaikan (Needs Improvement)</w:t>
            </w:r>
          </w:p>
        </w:tc>
      </w:tr>
    </w:tbl>
    <w:p/>
    <w:p>
      <w:pPr>
        <w:pStyle w:val="Heading2"/>
      </w:pPr>
      <w:r>
        <w:t>1.2 Ringkasan Penemuan / Finding Summary</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1F4E79" w:val="clear"/>
          </w:tcPr>
          <w:p>
            <w:pPr/>
            <w:r>
              <w:rPr>
                <w:b/>
                <w:color w:val="FFFFFF"/>
                <w:sz w:val="18"/>
              </w:rPr>
              <w:t>Keterukan / Severity</w:t>
            </w:r>
          </w:p>
        </w:tc>
        <w:tc>
          <w:tcPr>
            <w:tcW w:type="dxa" w:w="1134"/>
            <w:shd w:fill="1F4E79" w:val="clear"/>
          </w:tcPr>
          <w:p>
            <w:pPr/>
            <w:r>
              <w:rPr>
                <w:b/>
                <w:color w:val="FFFFFF"/>
                <w:sz w:val="18"/>
              </w:rPr>
              <w:t>Bilangan / Count</w:t>
            </w:r>
          </w:p>
        </w:tc>
        <w:tc>
          <w:tcPr>
            <w:tcW w:type="dxa" w:w="5669"/>
            <w:shd w:fill="1F4E79" w:val="clear"/>
          </w:tcPr>
          <w:p>
            <w:pPr/>
            <w:r>
              <w:rPr>
                <w:b/>
                <w:color w:val="FFFFFF"/>
                <w:sz w:val="18"/>
              </w:rPr>
              <w:t>Bidang Utama / Key Areas</w:t>
            </w:r>
          </w:p>
        </w:tc>
      </w:tr>
      <w:tr>
        <w:tc>
          <w:tcPr>
            <w:tcW w:type="dxa" w:w="2268"/>
          </w:tcPr>
          <w:p>
            <w:r>
              <w:rPr>
                <w:sz w:val="18"/>
              </w:rPr>
              <w:t>Kritikal (Critical)</w:t>
            </w:r>
          </w:p>
        </w:tc>
        <w:tc>
          <w:tcPr>
            <w:tcW w:type="dxa" w:w="1134"/>
          </w:tcPr>
          <w:p>
            <w:r>
              <w:rPr>
                <w:sz w:val="18"/>
              </w:rPr>
              <w:t>1</w:t>
            </w:r>
          </w:p>
        </w:tc>
        <w:tc>
          <w:tcPr>
            <w:tcW w:type="dxa" w:w="5669"/>
          </w:tcPr>
          <w:p>
            <w:r>
              <w:rPr>
                <w:sz w:val="18"/>
              </w:rPr>
              <w:t>CSIRT not established; 6-hour notification untested (CoP 18.0)</w:t>
            </w:r>
          </w:p>
        </w:tc>
      </w:tr>
      <w:tr>
        <w:tc>
          <w:tcPr>
            <w:tcW w:type="dxa" w:w="2268"/>
            <w:shd w:fill="F2F2F2" w:val="clear"/>
          </w:tcPr>
          <w:p>
            <w:r>
              <w:rPr>
                <w:sz w:val="18"/>
              </w:rPr>
              <w:t>Tinggi (High)</w:t>
            </w:r>
          </w:p>
        </w:tc>
        <w:tc>
          <w:tcPr>
            <w:tcW w:type="dxa" w:w="1134"/>
            <w:shd w:fill="F2F2F2" w:val="clear"/>
          </w:tcPr>
          <w:p>
            <w:r>
              <w:rPr>
                <w:sz w:val="18"/>
              </w:rPr>
              <w:t>2</w:t>
            </w:r>
          </w:p>
        </w:tc>
        <w:tc>
          <w:tcPr>
            <w:tcW w:type="dxa" w:w="5669"/>
            <w:shd w:fill="F2F2F2" w:val="clear"/>
          </w:tcPr>
          <w:p>
            <w:r>
              <w:rPr>
                <w:sz w:val="18"/>
              </w:rPr>
              <w:t>Risk assessment submission overdue; SCADA firewall rules stale (CoP 9.0, 14.0)</w:t>
            </w:r>
          </w:p>
        </w:tc>
      </w:tr>
      <w:tr>
        <w:tc>
          <w:tcPr>
            <w:tcW w:type="dxa" w:w="2268"/>
          </w:tcPr>
          <w:p>
            <w:r>
              <w:rPr>
                <w:sz w:val="18"/>
              </w:rPr>
              <w:t>Sederhana (Medium)</w:t>
            </w:r>
          </w:p>
        </w:tc>
        <w:tc>
          <w:tcPr>
            <w:tcW w:type="dxa" w:w="1134"/>
          </w:tcPr>
          <w:p>
            <w:r>
              <w:rPr>
                <w:sz w:val="18"/>
              </w:rPr>
              <w:t>2</w:t>
            </w:r>
          </w:p>
        </w:tc>
        <w:tc>
          <w:tcPr>
            <w:tcW w:type="dxa" w:w="5669"/>
          </w:tcPr>
          <w:p>
            <w:r>
              <w:rPr>
                <w:sz w:val="18"/>
              </w:rPr>
              <w:t>Partial vulnerability scanning; DLP gap on SCADA (CoP 16.0, 11.0)</w:t>
            </w:r>
          </w:p>
        </w:tc>
      </w:tr>
      <w:tr>
        <w:tc>
          <w:tcPr>
            <w:tcW w:type="dxa" w:w="2268"/>
            <w:shd w:fill="F2F2F2" w:val="clear"/>
          </w:tcPr>
          <w:p>
            <w:r>
              <w:rPr>
                <w:sz w:val="18"/>
              </w:rPr>
              <w:t>Rendah (Low)</w:t>
            </w:r>
          </w:p>
        </w:tc>
        <w:tc>
          <w:tcPr>
            <w:tcW w:type="dxa" w:w="1134"/>
            <w:shd w:fill="F2F2F2" w:val="clear"/>
          </w:tcPr>
          <w:p>
            <w:r>
              <w:rPr>
                <w:sz w:val="18"/>
              </w:rPr>
              <w:t>1</w:t>
            </w:r>
          </w:p>
        </w:tc>
        <w:tc>
          <w:tcPr>
            <w:tcW w:type="dxa" w:w="5669"/>
            <w:shd w:fill="F2F2F2" w:val="clear"/>
          </w:tcPr>
          <w:p>
            <w:r>
              <w:rPr>
                <w:sz w:val="18"/>
              </w:rPr>
              <w:t>Physical security procedure review overdue (CoP 13.0)</w:t>
            </w:r>
          </w:p>
        </w:tc>
      </w:tr>
      <w:tr>
        <w:tc>
          <w:tcPr>
            <w:tcW w:type="dxa" w:w="2268"/>
          </w:tcPr>
          <w:p>
            <w:r>
              <w:rPr>
                <w:sz w:val="18"/>
              </w:rPr>
              <w:t>Jumlah / Total</w:t>
            </w:r>
          </w:p>
        </w:tc>
        <w:tc>
          <w:tcPr>
            <w:tcW w:type="dxa" w:w="1134"/>
          </w:tcPr>
          <w:p>
            <w:r>
              <w:rPr>
                <w:sz w:val="18"/>
              </w:rPr>
              <w:t>6</w:t>
            </w:r>
          </w:p>
        </w:tc>
        <w:tc>
          <w:tcPr>
            <w:tcW w:type="dxa" w:w="5669"/>
          </w:tcPr>
          <w:p>
            <w:r>
              <w:rPr>
                <w:sz w:val="18"/>
              </w:rPr>
            </w:r>
          </w:p>
        </w:tc>
      </w:tr>
    </w:tbl>
    <w:p/>
    <w:p>
      <w:pPr>
        <w:pStyle w:val="Heading2"/>
      </w:pPr>
      <w:r>
        <w:t>1.3 Perkara Memerlukan Perhatian Segera / Key Areas Requiring Immediate Attention</w:t>
      </w:r>
    </w:p>
    <w:p>
      <w:pPr>
        <w:pStyle w:val="ListBullet"/>
      </w:pPr>
      <w:r>
        <w:t>KRITIKAL: Establishment of a CSIRT and testing of the 6-hour incident notification process is the most urgent priority. Without a functioning CSIRT and tested notification process, STS cannot comply with its s26 statutory obligation and is exposed to criminal liability under Act 854.</w:t>
      </w:r>
    </w:p>
    <w:p>
      <w:pPr>
        <w:pStyle w:val="ListBullet"/>
      </w:pPr>
      <w:r>
        <w:t>TINGGI: The risk assessment report must be submitted to the NACSA CE via auditpematuhan@nacsa.gov.my within the prescribed period. Current overdue status of 52 days exposes the entity to penalties under s21.</w:t>
      </w:r>
    </w:p>
    <w:p>
      <w:pPr>
        <w:pStyle w:val="ListBullet"/>
      </w:pPr>
      <w:r>
        <w:t>TINGGI: SCADA firewall rules have not been reviewed for 18 months — well beyond the annual review mandate under CoP 14.3.4.1. Given the criticality of the SCADA system to national energy infrastructure, this represents a significant risk.</w:t>
      </w:r>
    </w:p>
    <w:p>
      <w:r>
        <w:br w:type="page"/>
      </w:r>
    </w:p>
    <w:p>
      <w:pPr>
        <w:pStyle w:val="Heading1"/>
      </w:pPr>
      <w:r>
        <w:t>2. Skop dan Objektif Audit / Audit Scope and Objectives</w:t>
      </w:r>
    </w:p>
    <w:p>
      <w:pPr>
        <w:pStyle w:val="Heading2"/>
      </w:pPr>
      <w:r>
        <w:t>2.1 Objektif Audit / Audit Objectives</w:t>
      </w:r>
    </w:p>
    <w:p>
      <w:r>
        <w:t>To determine the extent to which the NCII entity complies with the audit criteria ("sejauh mana kriteria audit dipenuhi") per CE Directive 08 para 5(a).</w:t>
      </w:r>
    </w:p>
    <w:p>
      <w:pPr>
        <w:pStyle w:val="Heading2"/>
      </w:pPr>
      <w:r>
        <w:t>2.2 Kriteria Audit / Audit Criteria</w:t>
      </w:r>
    </w:p>
    <w:p>
      <w:pPr>
        <w:pStyle w:val="ListBullet"/>
      </w:pPr>
      <w:r>
        <w:t>Cyber Security Act 2024 (Act 854) — Part IV (s17-s27)</w:t>
      </w:r>
    </w:p>
    <w:p>
      <w:pPr>
        <w:pStyle w:val="ListBullet"/>
      </w:pPr>
      <w:r>
        <w:t>Regulations under Act 854: P.U.(A) 219-222/2024</w:t>
      </w:r>
    </w:p>
    <w:p>
      <w:pPr>
        <w:pStyle w:val="ListBullet"/>
      </w:pPr>
      <w:r>
        <w:t>CE Directives (Arahan Ketua Eksekutif) 01-10</w:t>
      </w:r>
    </w:p>
    <w:p>
      <w:pPr>
        <w:pStyle w:val="ListBullet"/>
      </w:pPr>
      <w:r>
        <w:t>Code of Practice (Tataamalan) — CoP Template v1.6, sections 4.0-21.0</w:t>
      </w:r>
    </w:p>
    <w:p>
      <w:pPr>
        <w:pStyle w:val="ListBullet"/>
      </w:pPr>
      <w:r>
        <w:t>[Sector-specific CoP if applicable and verified with sector lead]</w:t>
      </w:r>
    </w:p>
    <w:p>
      <w:pPr>
        <w:pStyle w:val="Heading2"/>
      </w:pPr>
      <w:r>
        <w:t>2.3 Skop / Scope</w:t>
      </w:r>
    </w:p>
    <w:tbl>
      <w:tblPr>
        <w:tblStyle w:val="TableGrid"/>
        <w:tblW w:type="auto" w:w="0"/>
        <w:jc w:val="center"/>
        <w:tblLook w:firstColumn="1" w:firstRow="1" w:lastColumn="0" w:lastRow="0" w:noHBand="0" w:noVBand="1" w:val="04A0"/>
      </w:tblPr>
      <w:tblGrid>
        <w:gridCol w:w="4320"/>
        <w:gridCol w:w="4320"/>
      </w:tblGrid>
      <w:tr>
        <w:tc>
          <w:tcPr>
            <w:tcW w:type="dxa" w:w="2835"/>
            <w:shd w:fill="1F4E79" w:val="clear"/>
          </w:tcPr>
          <w:p>
            <w:pPr/>
            <w:r>
              <w:rPr>
                <w:b/>
                <w:color w:val="FFFFFF"/>
                <w:sz w:val="18"/>
              </w:rPr>
              <w:t>Elemen Skop / Scope Element</w:t>
            </w:r>
          </w:p>
        </w:tc>
        <w:tc>
          <w:tcPr>
            <w:tcW w:type="dxa" w:w="6236"/>
            <w:shd w:fill="1F4E79" w:val="clear"/>
          </w:tcPr>
          <w:p>
            <w:pPr/>
            <w:r>
              <w:rPr>
                <w:b/>
                <w:color w:val="FFFFFF"/>
                <w:sz w:val="18"/>
              </w:rPr>
              <w:t>Perihalan / Description</w:t>
            </w:r>
          </w:p>
        </w:tc>
      </w:tr>
      <w:tr>
        <w:tc>
          <w:tcPr>
            <w:tcW w:type="dxa" w:w="2835"/>
          </w:tcPr>
          <w:p>
            <w:r>
              <w:rPr>
                <w:sz w:val="18"/>
              </w:rPr>
              <w:t>NCII Systems in Scope</w:t>
            </w:r>
          </w:p>
        </w:tc>
        <w:tc>
          <w:tcPr>
            <w:tcW w:type="dxa" w:w="6236"/>
          </w:tcPr>
          <w:p>
            <w:r>
              <w:rPr>
                <w:sz w:val="18"/>
              </w:rPr>
              <w:t>4 systems — see Lampiran A</w:t>
            </w:r>
          </w:p>
        </w:tc>
      </w:tr>
      <w:tr>
        <w:tc>
          <w:tcPr>
            <w:tcW w:type="dxa" w:w="2835"/>
            <w:shd w:fill="F2F2F2" w:val="clear"/>
          </w:tcPr>
          <w:p>
            <w:r>
              <w:rPr>
                <w:sz w:val="18"/>
              </w:rPr>
              <w:t>Tier 1 CoP Requirements</w:t>
            </w:r>
          </w:p>
        </w:tc>
        <w:tc>
          <w:tcPr>
            <w:tcW w:type="dxa" w:w="6236"/>
            <w:shd w:fill="F2F2F2" w:val="clear"/>
          </w:tcPr>
          <w:p>
            <w:r>
              <w:rPr>
                <w:sz w:val="18"/>
              </w:rPr>
              <w:t>210 (SHALL clauses from 126 controls across 17 active domains)</w:t>
            </w:r>
          </w:p>
        </w:tc>
      </w:tr>
      <w:tr>
        <w:tc>
          <w:tcPr>
            <w:tcW w:type="dxa" w:w="2835"/>
          </w:tcPr>
          <w:p>
            <w:r>
              <w:rPr>
                <w:sz w:val="18"/>
              </w:rPr>
              <w:t>Tier 2 CoP Requirements</w:t>
            </w:r>
          </w:p>
        </w:tc>
        <w:tc>
          <w:tcPr>
            <w:tcW w:type="dxa" w:w="6236"/>
          </w:tcPr>
          <w:p>
            <w:r>
              <w:rPr>
                <w:sz w:val="18"/>
              </w:rPr>
              <w:t>18 (SHOULD/MAY clauses — improvement opportunities only)</w:t>
            </w:r>
          </w:p>
        </w:tc>
      </w:tr>
      <w:tr>
        <w:tc>
          <w:tcPr>
            <w:tcW w:type="dxa" w:w="2835"/>
            <w:shd w:fill="F2F2F2" w:val="clear"/>
          </w:tcPr>
          <w:p>
            <w:r>
              <w:rPr>
                <w:sz w:val="18"/>
              </w:rPr>
              <w:t>CE Directive Requirements</w:t>
            </w:r>
          </w:p>
        </w:tc>
        <w:tc>
          <w:tcPr>
            <w:tcW w:type="dxa" w:w="6236"/>
            <w:shd w:fill="F2F2F2" w:val="clear"/>
          </w:tcPr>
          <w:p>
            <w:r>
              <w:rPr>
                <w:sz w:val="18"/>
              </w:rPr>
              <w:t>42 (from CE Directives 01-10)</w:t>
            </w:r>
          </w:p>
        </w:tc>
      </w:tr>
      <w:tr>
        <w:tc>
          <w:tcPr>
            <w:tcW w:type="dxa" w:w="2835"/>
          </w:tcPr>
          <w:p>
            <w:r>
              <w:rPr>
                <w:sz w:val="18"/>
              </w:rPr>
              <w:t>Total Testable Requirements</w:t>
            </w:r>
          </w:p>
        </w:tc>
        <w:tc>
          <w:tcPr>
            <w:tcW w:type="dxa" w:w="6236"/>
          </w:tcPr>
          <w:p>
            <w:r>
              <w:rPr>
                <w:sz w:val="18"/>
              </w:rPr>
              <w:t>210 Tier 1 + 42 directive = 252 compliance-rated</w:t>
            </w:r>
          </w:p>
        </w:tc>
      </w:tr>
      <w:tr>
        <w:tc>
          <w:tcPr>
            <w:tcW w:type="dxa" w:w="2835"/>
            <w:shd w:fill="F2F2F2" w:val="clear"/>
          </w:tcPr>
          <w:p>
            <w:r>
              <w:rPr>
                <w:sz w:val="18"/>
              </w:rPr>
              <w:t>CoP Domains Assessed</w:t>
            </w:r>
          </w:p>
        </w:tc>
        <w:tc>
          <w:tcPr>
            <w:tcW w:type="dxa" w:w="6236"/>
            <w:shd w:fill="F2F2F2" w:val="clear"/>
          </w:tcPr>
          <w:p>
            <w:r>
              <w:rPr>
                <w:sz w:val="18"/>
              </w:rPr>
              <w:t>4.0-20.0 (17 active domains; 21.0 assessed but 0 requirements)</w:t>
            </w:r>
          </w:p>
        </w:tc>
      </w:tr>
      <w:tr>
        <w:tc>
          <w:tcPr>
            <w:tcW w:type="dxa" w:w="2835"/>
          </w:tcPr>
          <w:p>
            <w:r>
              <w:rPr>
                <w:sz w:val="18"/>
              </w:rPr>
              <w:t>Assessment Period</w:t>
            </w:r>
          </w:p>
        </w:tc>
        <w:tc>
          <w:tcPr>
            <w:tcW w:type="dxa" w:w="6236"/>
          </w:tcPr>
          <w:p>
            <w:r>
              <w:rPr>
                <w:sz w:val="18"/>
              </w:rPr>
              <w:t>06/01/2026 to 14/02/2026 (6 weeks)</w:t>
            </w:r>
          </w:p>
        </w:tc>
      </w:tr>
      <w:tr>
        <w:tc>
          <w:tcPr>
            <w:tcW w:type="dxa" w:w="2835"/>
            <w:shd w:fill="F2F2F2" w:val="clear"/>
          </w:tcPr>
          <w:p>
            <w:r>
              <w:rPr>
                <w:sz w:val="18"/>
              </w:rPr>
              <w:t>Exclusions</w:t>
            </w:r>
          </w:p>
        </w:tc>
        <w:tc>
          <w:tcPr>
            <w:tcW w:type="dxa" w:w="6236"/>
            <w:shd w:fill="F2F2F2" w:val="clear"/>
          </w:tcPr>
          <w:p>
            <w:r>
              <w:rPr>
                <w:sz w:val="18"/>
              </w:rPr>
              <w:t>CoP 20.0 sector-specific: Energy Commission sector CoP not yet gazetted — tested against CoP Template requirements only</w:t>
            </w:r>
          </w:p>
        </w:tc>
      </w:tr>
      <w:tr>
        <w:tc>
          <w:tcPr>
            <w:tcW w:type="dxa" w:w="2835"/>
          </w:tcPr>
          <w:p>
            <w:r>
              <w:rPr>
                <w:sz w:val="18"/>
              </w:rPr>
              <w:t>Scope Limitations</w:t>
            </w:r>
          </w:p>
        </w:tc>
        <w:tc>
          <w:tcPr>
            <w:tcW w:type="dxa" w:w="6236"/>
          </w:tcPr>
          <w:p>
            <w:r>
              <w:rPr>
                <w:sz w:val="18"/>
              </w:rPr>
              <w:t>Smart grid platform underwent maintenance during Week 3; technical testing of CoP 14.0 controls for this system deferred to Week 5</w:t>
            </w:r>
          </w:p>
        </w:tc>
      </w:tr>
    </w:tbl>
    <w:p/>
    <w:p>
      <w:pPr>
        <w:pStyle w:val="Heading2"/>
      </w:pPr>
      <w:r>
        <w:t>2.4 Pasukan Audit / Audit Team</w:t>
      </w:r>
    </w:p>
    <w:p>
      <w:r>
        <w:t>Per CE Directive 08 para 16(c)(i): every audit team must include at least one member with technical expertise in the sector being audited.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fill="1F4E79" w:val="clear"/>
          </w:tcPr>
          <w:p>
            <w:pPr/>
            <w:r>
              <w:rPr>
                <w:b/>
                <w:color w:val="FFFFFF"/>
                <w:sz w:val="18"/>
              </w:rPr>
              <w:t>Peranan / Role</w:t>
            </w:r>
          </w:p>
        </w:tc>
        <w:tc>
          <w:tcPr>
            <w:tcW w:type="dxa" w:w="1701"/>
            <w:shd w:fill="1F4E79" w:val="clear"/>
          </w:tcPr>
          <w:p>
            <w:pPr/>
            <w:r>
              <w:rPr>
                <w:b/>
                <w:color w:val="FFFFFF"/>
                <w:sz w:val="18"/>
              </w:rPr>
              <w:t>Nama / Name</w:t>
            </w:r>
          </w:p>
        </w:tc>
        <w:tc>
          <w:tcPr>
            <w:tcW w:type="dxa" w:w="1701"/>
            <w:shd w:fill="1F4E79" w:val="clear"/>
          </w:tcPr>
          <w:p>
            <w:pPr/>
            <w:r>
              <w:rPr>
                <w:b/>
                <w:color w:val="FFFFFF"/>
                <w:sz w:val="18"/>
              </w:rPr>
              <w:t>Kelayakan / Qualification</w:t>
            </w:r>
          </w:p>
        </w:tc>
        <w:tc>
          <w:tcPr>
            <w:tcW w:type="dxa" w:w="3402"/>
            <w:shd w:fill="1F4E79" w:val="clear"/>
          </w:tcPr>
          <w:p>
            <w:pPr/>
            <w:r>
              <w:rPr>
                <w:b/>
                <w:color w:val="FFFFFF"/>
                <w:sz w:val="18"/>
              </w:rPr>
              <w:t>Skop / Scope</w:t>
            </w:r>
          </w:p>
        </w:tc>
      </w:tr>
      <w:tr>
        <w:tc>
          <w:tcPr>
            <w:tcW w:type="dxa" w:w="2268"/>
          </w:tcPr>
          <w:p>
            <w:r>
              <w:rPr>
                <w:sz w:val="18"/>
              </w:rPr>
              <w:t>Engagement Partner</w:t>
            </w:r>
          </w:p>
        </w:tc>
        <w:tc>
          <w:tcPr>
            <w:tcW w:type="dxa" w:w="1701"/>
          </w:tcPr>
          <w:p>
            <w:r>
              <w:rPr>
                <w:sz w:val="18"/>
              </w:rPr>
              <w:t>Dato' Ir. Razlan Hashim</w:t>
            </w:r>
          </w:p>
        </w:tc>
        <w:tc>
          <w:tcPr>
            <w:tcW w:type="dxa" w:w="1701"/>
          </w:tcPr>
          <w:p>
            <w:r>
              <w:rPr>
                <w:sz w:val="18"/>
              </w:rPr>
              <w:t>CISA, CISSP, PMP</w:t>
            </w:r>
          </w:p>
        </w:tc>
        <w:tc>
          <w:tcPr>
            <w:tcW w:type="dxa" w:w="3402"/>
          </w:tcPr>
          <w:p>
            <w:r>
              <w:rPr>
                <w:sz w:val="18"/>
              </w:rPr>
              <w:t>Overall direction, QA, NACSA submission</w:t>
            </w:r>
          </w:p>
        </w:tc>
      </w:tr>
      <w:tr>
        <w:tc>
          <w:tcPr>
            <w:tcW w:type="dxa" w:w="2268"/>
            <w:shd w:fill="F2F2F2" w:val="clear"/>
          </w:tcPr>
          <w:p>
            <w:r>
              <w:rPr>
                <w:sz w:val="18"/>
              </w:rPr>
              <w:t>Lead Auditor (Ketua Juruaudit)</w:t>
            </w:r>
          </w:p>
        </w:tc>
        <w:tc>
          <w:tcPr>
            <w:tcW w:type="dxa" w:w="1701"/>
            <w:shd w:fill="F2F2F2" w:val="clear"/>
          </w:tcPr>
          <w:p>
            <w:r>
              <w:rPr>
                <w:sz w:val="18"/>
              </w:rPr>
              <w:t>Ahmad Faizal bin Mohd Noor</w:t>
            </w:r>
          </w:p>
        </w:tc>
        <w:tc>
          <w:tcPr>
            <w:tcW w:type="dxa" w:w="1701"/>
            <w:shd w:fill="F2F2F2" w:val="clear"/>
          </w:tcPr>
          <w:p>
            <w:r>
              <w:rPr>
                <w:sz w:val="18"/>
              </w:rPr>
              <w:t>CISA, CISM, ISO 27001 LA</w:t>
            </w:r>
          </w:p>
        </w:tc>
        <w:tc>
          <w:tcPr>
            <w:tcW w:type="dxa" w:w="3402"/>
            <w:shd w:fill="F2F2F2" w:val="clear"/>
          </w:tcPr>
          <w:p>
            <w:r>
              <w:rPr>
                <w:sz w:val="18"/>
              </w:rPr>
              <w:t>Full CoP scope (4.0-21.0), directive compliance</w:t>
            </w:r>
          </w:p>
        </w:tc>
      </w:tr>
      <w:tr>
        <w:tc>
          <w:tcPr>
            <w:tcW w:type="dxa" w:w="2268"/>
          </w:tcPr>
          <w:p>
            <w:r>
              <w:rPr>
                <w:sz w:val="18"/>
              </w:rPr>
              <w:t>Auditor (Juruaudit)</w:t>
            </w:r>
          </w:p>
        </w:tc>
        <w:tc>
          <w:tcPr>
            <w:tcW w:type="dxa" w:w="1701"/>
          </w:tcPr>
          <w:p>
            <w:r>
              <w:rPr>
                <w:sz w:val="18"/>
              </w:rPr>
              <w:t>Nurul Aisyah binti Zainal</w:t>
            </w:r>
          </w:p>
        </w:tc>
        <w:tc>
          <w:tcPr>
            <w:tcW w:type="dxa" w:w="1701"/>
          </w:tcPr>
          <w:p>
            <w:r>
              <w:rPr>
                <w:sz w:val="18"/>
              </w:rPr>
              <w:t>CISA, CEH</w:t>
            </w:r>
          </w:p>
        </w:tc>
        <w:tc>
          <w:tcPr>
            <w:tcW w:type="dxa" w:w="3402"/>
          </w:tcPr>
          <w:p>
            <w:r>
              <w:rPr>
                <w:sz w:val="18"/>
              </w:rPr>
              <w:t>CoP 14.0-16.0 (network, access, vulnerability)</w:t>
            </w:r>
          </w:p>
        </w:tc>
      </w:tr>
      <w:tr>
        <w:tc>
          <w:tcPr>
            <w:tcW w:type="dxa" w:w="2268"/>
            <w:shd w:fill="F2F2F2" w:val="clear"/>
          </w:tcPr>
          <w:p>
            <w:r>
              <w:rPr>
                <w:sz w:val="18"/>
              </w:rPr>
              <w:t>Auditor (Juruaudit)</w:t>
            </w:r>
          </w:p>
        </w:tc>
        <w:tc>
          <w:tcPr>
            <w:tcW w:type="dxa" w:w="1701"/>
            <w:shd w:fill="F2F2F2" w:val="clear"/>
          </w:tcPr>
          <w:p>
            <w:r>
              <w:rPr>
                <w:sz w:val="18"/>
              </w:rPr>
              <w:t>Muhammad Hafiz bin Ismail</w:t>
            </w:r>
          </w:p>
        </w:tc>
        <w:tc>
          <w:tcPr>
            <w:tcW w:type="dxa" w:w="1701"/>
            <w:shd w:fill="F2F2F2" w:val="clear"/>
          </w:tcPr>
          <w:p>
            <w:r>
              <w:rPr>
                <w:sz w:val="18"/>
              </w:rPr>
              <w:t>ISO 27001 LA</w:t>
            </w:r>
          </w:p>
        </w:tc>
        <w:tc>
          <w:tcPr>
            <w:tcW w:type="dxa" w:w="3402"/>
            <w:shd w:fill="F2F2F2" w:val="clear"/>
          </w:tcPr>
          <w:p>
            <w:r>
              <w:rPr>
                <w:sz w:val="18"/>
              </w:rPr>
              <w:t>CoP 4.0-10.0 (governance, policy, risk)</w:t>
            </w:r>
          </w:p>
        </w:tc>
      </w:tr>
      <w:tr>
        <w:tc>
          <w:tcPr>
            <w:tcW w:type="dxa" w:w="2268"/>
          </w:tcPr>
          <w:p>
            <w:r>
              <w:rPr>
                <w:sz w:val="18"/>
              </w:rPr>
              <w:t>Legal Practitioner (Mode A)</w:t>
            </w:r>
          </w:p>
        </w:tc>
        <w:tc>
          <w:tcPr>
            <w:tcW w:type="dxa" w:w="1701"/>
          </w:tcPr>
          <w:p>
            <w:r>
              <w:rPr>
                <w:sz w:val="18"/>
              </w:rPr>
              <w:t>Puan Siti Nurhaliza binti Ahmad</w:t>
            </w:r>
          </w:p>
        </w:tc>
        <w:tc>
          <w:tcPr>
            <w:tcW w:type="dxa" w:w="1701"/>
          </w:tcPr>
          <w:p>
            <w:r>
              <w:rPr>
                <w:sz w:val="18"/>
              </w:rPr>
              <w:t>Malaysian Bar</w:t>
            </w:r>
          </w:p>
        </w:tc>
        <w:tc>
          <w:tcPr>
            <w:tcW w:type="dxa" w:w="3402"/>
          </w:tcPr>
          <w:p>
            <w:r>
              <w:rPr>
                <w:sz w:val="18"/>
              </w:rPr>
              <w:t>Statutory obligations s17-s27, s52 director liability, penalty exposure</w:t>
            </w:r>
          </w:p>
        </w:tc>
      </w:tr>
      <w:tr>
        <w:tc>
          <w:tcPr>
            <w:tcW w:type="dxa" w:w="2268"/>
            <w:shd w:fill="F2F2F2" w:val="clear"/>
          </w:tcPr>
          <w:p>
            <w:r>
              <w:rPr>
                <w:sz w:val="18"/>
              </w:rPr>
              <w:t>Sector Specialist</w:t>
            </w:r>
          </w:p>
        </w:tc>
        <w:tc>
          <w:tcPr>
            <w:tcW w:type="dxa" w:w="1701"/>
            <w:shd w:fill="F2F2F2" w:val="clear"/>
          </w:tcPr>
          <w:p>
            <w:r>
              <w:rPr>
                <w:sz w:val="18"/>
              </w:rPr>
              <w:t>Ir. Lee Wei Ming</w:t>
            </w:r>
          </w:p>
        </w:tc>
        <w:tc>
          <w:tcPr>
            <w:tcW w:type="dxa" w:w="1701"/>
            <w:shd w:fill="F2F2F2" w:val="clear"/>
          </w:tcPr>
          <w:p>
            <w:r>
              <w:rPr>
                <w:sz w:val="18"/>
              </w:rPr>
              <w:t>P.Eng, GICSP</w:t>
            </w:r>
          </w:p>
        </w:tc>
        <w:tc>
          <w:tcPr>
            <w:tcW w:type="dxa" w:w="3402"/>
            <w:shd w:fill="F2F2F2" w:val="clear"/>
          </w:tcPr>
          <w:p>
            <w:r>
              <w:rPr>
                <w:sz w:val="18"/>
              </w:rPr>
              <w:t>SCADA/ICS security, energy sector controls, CoP 20.0</w:t>
            </w:r>
          </w:p>
        </w:tc>
      </w:tr>
    </w:tbl>
    <w:p>
      <w:r>
        <w:br w:type="page"/>
      </w:r>
    </w:p>
    <w:p>
      <w:pPr>
        <w:pStyle w:val="Heading1"/>
      </w:pPr>
      <w:r>
        <w:t>3. Pendekatan Audit / Audit Approach and Methodology</w:t>
      </w:r>
    </w:p>
    <w:p>
      <w:pPr>
        <w:pStyle w:val="Heading2"/>
      </w:pPr>
      <w:r>
        <w:t>3.1 Pendekatan Wajib / Mandatory Approaches</w:t>
      </w:r>
    </w:p>
    <w:p>
      <w:r>
        <w:t>Compliance-Based (Pendekatan Berasaskan Pematuhan) — assesses extent of compliance with Act 854, regulations, CE directives, and CoP. Produces compliance status per requirement: Patuh / Separa Patuh / Tidak Patuh / Tidak Berkenaan.</w:t>
      </w:r>
    </w:p>
    <w:p>
      <w:r>
        <w:t>Risk-Based (Pendekatan Berasaskan Risiko) — assesses threat, vulnerability, and impact for each non-compliance. Produces severity rating per finding: Kritikal / Tinggi / Sederhana / Rendah.</w:t>
      </w:r>
    </w:p>
    <w:p>
      <w:pPr>
        <w:pStyle w:val="Heading2"/>
      </w:pPr>
      <w:r>
        <w:t>3.2 Pendekatan Pilihan / Optional Approaches Elected</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fill="1F4E79" w:val="clear"/>
          </w:tcPr>
          <w:p>
            <w:pPr/>
            <w:r>
              <w:rPr>
                <w:b/>
                <w:color w:val="FFFFFF"/>
                <w:sz w:val="18"/>
              </w:rPr>
              <w:t>Pendekatan / Approach</w:t>
            </w:r>
          </w:p>
        </w:tc>
        <w:tc>
          <w:tcPr>
            <w:tcW w:type="dxa" w:w="2268"/>
            <w:shd w:fill="1F4E79" w:val="clear"/>
          </w:tcPr>
          <w:p>
            <w:pPr/>
            <w:r>
              <w:rPr>
                <w:b/>
                <w:color w:val="FFFFFF"/>
                <w:sz w:val="18"/>
              </w:rPr>
              <w:t>Status</w:t>
            </w:r>
          </w:p>
        </w:tc>
        <w:tc>
          <w:tcPr>
            <w:tcW w:type="dxa" w:w="3969"/>
            <w:shd w:fill="1F4E79" w:val="clear"/>
          </w:tcPr>
          <w:p>
            <w:pPr/>
            <w:r>
              <w:rPr>
                <w:b/>
                <w:color w:val="FFFFFF"/>
                <w:sz w:val="18"/>
              </w:rPr>
              <w:t>Domain</w:t>
            </w:r>
          </w:p>
        </w:tc>
      </w:tr>
      <w:tr>
        <w:tc>
          <w:tcPr>
            <w:tcW w:type="dxa" w:w="2835"/>
          </w:tcPr>
          <w:p>
            <w:r>
              <w:rPr>
                <w:sz w:val="18"/>
              </w:rPr>
              <w:t>Control-Based (Kawalan)</w:t>
            </w:r>
          </w:p>
        </w:tc>
        <w:tc>
          <w:tcPr>
            <w:tcW w:type="dxa" w:w="2268"/>
          </w:tcPr>
          <w:p>
            <w:r>
              <w:rPr>
                <w:sz w:val="18"/>
              </w:rPr>
              <w:t>Not Elected</w:t>
            </w:r>
          </w:p>
        </w:tc>
        <w:tc>
          <w:tcPr>
            <w:tcW w:type="dxa" w:w="3969"/>
          </w:tcPr>
          <w:p>
            <w:r>
              <w:rPr>
                <w:sz w:val="18"/>
              </w:rPr>
              <w:t>N/A</w:t>
            </w:r>
          </w:p>
        </w:tc>
      </w:tr>
      <w:tr>
        <w:tc>
          <w:tcPr>
            <w:tcW w:type="dxa" w:w="2835"/>
            <w:shd w:fill="F2F2F2" w:val="clear"/>
          </w:tcPr>
          <w:p>
            <w:r>
              <w:rPr>
                <w:sz w:val="18"/>
              </w:rPr>
              <w:t>Technical Testing (Ujian Teknikal)</w:t>
            </w:r>
          </w:p>
        </w:tc>
        <w:tc>
          <w:tcPr>
            <w:tcW w:type="dxa" w:w="2268"/>
            <w:shd w:fill="F2F2F2" w:val="clear"/>
          </w:tcPr>
          <w:p>
            <w:r>
              <w:rPr>
                <w:sz w:val="18"/>
              </w:rPr>
              <w:t>Not Elected</w:t>
            </w:r>
          </w:p>
        </w:tc>
        <w:tc>
          <w:tcPr>
            <w:tcW w:type="dxa" w:w="3969"/>
            <w:shd w:fill="F2F2F2" w:val="clear"/>
          </w:tcPr>
          <w:p>
            <w:r>
              <w:rPr>
                <w:sz w:val="18"/>
              </w:rPr>
              <w:t>N/A</w:t>
            </w:r>
          </w:p>
        </w:tc>
      </w:tr>
      <w:tr>
        <w:tc>
          <w:tcPr>
            <w:tcW w:type="dxa" w:w="2835"/>
          </w:tcPr>
          <w:p>
            <w:r>
              <w:rPr>
                <w:sz w:val="18"/>
              </w:rPr>
              <w:t>Inspection &amp; Verification (Pemeriksaan)</w:t>
            </w:r>
          </w:p>
        </w:tc>
        <w:tc>
          <w:tcPr>
            <w:tcW w:type="dxa" w:w="2268"/>
          </w:tcPr>
          <w:p>
            <w:r>
              <w:rPr>
                <w:sz w:val="18"/>
              </w:rPr>
              <w:t>Not Elected</w:t>
            </w:r>
          </w:p>
        </w:tc>
        <w:tc>
          <w:tcPr>
            <w:tcW w:type="dxa" w:w="3969"/>
          </w:tcPr>
          <w:p>
            <w:r>
              <w:rPr>
                <w:sz w:val="18"/>
              </w:rPr>
              <w:t>N/A</w:t>
            </w:r>
          </w:p>
        </w:tc>
      </w:tr>
      <w:tr>
        <w:tc>
          <w:tcPr>
            <w:tcW w:type="dxa" w:w="2835"/>
            <w:shd w:fill="F2F2F2" w:val="clear"/>
          </w:tcPr>
          <w:p>
            <w:r>
              <w:rPr>
                <w:sz w:val="18"/>
              </w:rPr>
              <w:t>Continuous Improvement (Penambahbaikan)</w:t>
            </w:r>
          </w:p>
        </w:tc>
        <w:tc>
          <w:tcPr>
            <w:tcW w:type="dxa" w:w="2268"/>
            <w:shd w:fill="F2F2F2" w:val="clear"/>
          </w:tcPr>
          <w:p>
            <w:r>
              <w:rPr>
                <w:sz w:val="18"/>
              </w:rPr>
              <w:t>Not Elected</w:t>
            </w:r>
          </w:p>
        </w:tc>
        <w:tc>
          <w:tcPr>
            <w:tcW w:type="dxa" w:w="3969"/>
            <w:shd w:fill="F2F2F2" w:val="clear"/>
          </w:tcPr>
          <w:p>
            <w:r>
              <w:rPr>
                <w:sz w:val="18"/>
              </w:rPr>
              <w:t>N/A</w:t>
            </w:r>
          </w:p>
        </w:tc>
      </w:tr>
    </w:tbl>
    <w:p/>
    <w:p>
      <w:pPr>
        <w:pStyle w:val="Heading2"/>
      </w:pPr>
      <w:r>
        <w:t>3.3 Struktur Keperluan Dua Peringkat / Two-Tier Requirement Structure</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1F4E79" w:val="clear"/>
          </w:tcPr>
          <w:p>
            <w:pPr/>
            <w:r>
              <w:rPr>
                <w:b/>
                <w:color w:val="FFFFFF"/>
                <w:sz w:val="18"/>
              </w:rPr>
              <w:t>Peringkat / Tier</w:t>
            </w:r>
          </w:p>
        </w:tc>
        <w:tc>
          <w:tcPr>
            <w:tcW w:type="dxa" w:w="1701"/>
            <w:shd w:fill="1F4E79" w:val="clear"/>
          </w:tcPr>
          <w:p>
            <w:pPr/>
            <w:r>
              <w:rPr>
                <w:b/>
                <w:color w:val="FFFFFF"/>
                <w:sz w:val="18"/>
              </w:rPr>
              <w:t>Bilangan / Count</w:t>
            </w:r>
          </w:p>
        </w:tc>
        <w:tc>
          <w:tcPr>
            <w:tcW w:type="dxa" w:w="5669"/>
            <w:shd w:fill="1F4E79" w:val="clear"/>
          </w:tcPr>
          <w:p>
            <w:pPr/>
            <w:r>
              <w:rPr>
                <w:b/>
                <w:color w:val="FFFFFF"/>
                <w:sz w:val="18"/>
              </w:rPr>
              <w:t>Perihalan / Description</w:t>
            </w:r>
          </w:p>
        </w:tc>
      </w:tr>
      <w:tr>
        <w:tc>
          <w:tcPr>
            <w:tcW w:type="dxa" w:w="1701"/>
          </w:tcPr>
          <w:p>
            <w:r>
              <w:rPr>
                <w:sz w:val="18"/>
              </w:rPr>
              <w:t>Tier 1 (SHALL)</w:t>
            </w:r>
          </w:p>
        </w:tc>
        <w:tc>
          <w:tcPr>
            <w:tcW w:type="dxa" w:w="1701"/>
          </w:tcPr>
          <w:p>
            <w:r>
              <w:rPr>
                <w:sz w:val="18"/>
              </w:rPr>
              <w:t>210 requirements</w:t>
            </w:r>
          </w:p>
        </w:tc>
        <w:tc>
          <w:tcPr>
            <w:tcW w:type="dxa" w:w="5669"/>
          </w:tcPr>
          <w:p>
            <w:r>
              <w:rPr>
                <w:sz w:val="18"/>
              </w:rPr>
              <w:t>Mandatory compliance. Non-compliance = finding with severity rating. Compliance rated: Patuh / Separa Patuh / Tidak Patuh / Tidak Berkenaan.</w:t>
            </w:r>
          </w:p>
        </w:tc>
      </w:tr>
      <w:tr>
        <w:tc>
          <w:tcPr>
            <w:tcW w:type="dxa" w:w="1701"/>
            <w:shd w:fill="F2F2F2" w:val="clear"/>
          </w:tcPr>
          <w:p>
            <w:r>
              <w:rPr>
                <w:sz w:val="18"/>
              </w:rPr>
              <w:t>Tier 2 (SHOULD/MAY)</w:t>
            </w:r>
          </w:p>
        </w:tc>
        <w:tc>
          <w:tcPr>
            <w:tcW w:type="dxa" w:w="1701"/>
            <w:shd w:fill="F2F2F2" w:val="clear"/>
          </w:tcPr>
          <w:p>
            <w:r>
              <w:rPr>
                <w:sz w:val="18"/>
              </w:rPr>
              <w:t>18 requirements</w:t>
            </w:r>
          </w:p>
        </w:tc>
        <w:tc>
          <w:tcPr>
            <w:tcW w:type="dxa" w:w="5669"/>
            <w:shd w:fill="F2F2F2" w:val="clear"/>
          </w:tcPr>
          <w:p>
            <w:r>
              <w:rPr>
                <w:sz w:val="18"/>
              </w:rPr>
              <w:t>Advisory. Non-compliance = improvement opportunity (peluang penambahbaikan). No severity rating. No remediation obligation.</w:t>
            </w:r>
          </w:p>
        </w:tc>
      </w:tr>
      <w:tr>
        <w:tc>
          <w:tcPr>
            <w:tcW w:type="dxa" w:w="1701"/>
          </w:tcPr>
          <w:p>
            <w:r>
              <w:rPr>
                <w:sz w:val="18"/>
              </w:rPr>
              <w:t>Directive Requirements</w:t>
            </w:r>
          </w:p>
        </w:tc>
        <w:tc>
          <w:tcPr>
            <w:tcW w:type="dxa" w:w="1701"/>
          </w:tcPr>
          <w:p>
            <w:r>
              <w:rPr>
                <w:sz w:val="18"/>
              </w:rPr>
              <w:t>42 requirements</w:t>
            </w:r>
          </w:p>
        </w:tc>
        <w:tc>
          <w:tcPr>
            <w:tcW w:type="dxa" w:w="5669"/>
          </w:tcPr>
          <w:p>
            <w:r>
              <w:rPr>
                <w:sz w:val="18"/>
              </w:rPr>
              <w:t>From CE Directives 01-10. Mandatory compliance. Tested in separate directive compliance section.</w:t>
            </w:r>
          </w:p>
        </w:tc>
      </w:tr>
    </w:tbl>
    <w:p/>
    <w:p>
      <w:pPr>
        <w:pStyle w:val="Heading2"/>
      </w:pPr>
      <w:r>
        <w:t>3.4 Definisi Penarafan Pematuhan / Compliance Rating Definitions</w:t>
      </w:r>
    </w:p>
    <w:tbl>
      <w:tblPr>
        <w:tblStyle w:val="TableGrid"/>
        <w:tblW w:type="auto" w:w="0"/>
        <w:jc w:val="center"/>
        <w:tblLook w:firstColumn="1" w:firstRow="1" w:lastColumn="0" w:lastRow="0" w:noHBand="0" w:noVBand="1" w:val="04A0"/>
      </w:tblPr>
      <w:tblGrid>
        <w:gridCol w:w="4320"/>
        <w:gridCol w:w="4320"/>
      </w:tblGrid>
      <w:tr>
        <w:tc>
          <w:tcPr>
            <w:tcW w:type="dxa" w:w="2835"/>
            <w:shd w:fill="1F4E79" w:val="clear"/>
          </w:tcPr>
          <w:p>
            <w:pPr/>
            <w:r>
              <w:rPr>
                <w:b/>
                <w:color w:val="FFFFFF"/>
                <w:sz w:val="18"/>
              </w:rPr>
              <w:t>Penarafan / Rating</w:t>
            </w:r>
          </w:p>
        </w:tc>
        <w:tc>
          <w:tcPr>
            <w:tcW w:type="dxa" w:w="6236"/>
            <w:shd w:fill="1F4E79" w:val="clear"/>
          </w:tcPr>
          <w:p>
            <w:pPr/>
            <w:r>
              <w:rPr>
                <w:b/>
                <w:color w:val="FFFFFF"/>
                <w:sz w:val="18"/>
              </w:rPr>
              <w:t>Definisi / Definition</w:t>
            </w:r>
          </w:p>
        </w:tc>
      </w:tr>
      <w:tr>
        <w:tc>
          <w:tcPr>
            <w:tcW w:type="dxa" w:w="2835"/>
          </w:tcPr>
          <w:p>
            <w:r>
              <w:rPr>
                <w:sz w:val="18"/>
              </w:rPr>
              <w:t>P — Patuh (Compliant)</w:t>
            </w:r>
          </w:p>
        </w:tc>
        <w:tc>
          <w:tcPr>
            <w:tcW w:type="dxa" w:w="6236"/>
          </w:tcPr>
          <w:p>
            <w:r>
              <w:rPr>
                <w:sz w:val="18"/>
              </w:rPr>
              <w:t>Requirement fully met: policy exists, approved, applied, current, evidenced.</w:t>
            </w:r>
          </w:p>
        </w:tc>
      </w:tr>
      <w:tr>
        <w:tc>
          <w:tcPr>
            <w:tcW w:type="dxa" w:w="2835"/>
            <w:shd w:fill="F2F2F2" w:val="clear"/>
          </w:tcPr>
          <w:p>
            <w:r>
              <w:rPr>
                <w:sz w:val="18"/>
              </w:rPr>
              <w:t>SP — Separa Patuh (Partially Compliant)</w:t>
            </w:r>
          </w:p>
        </w:tc>
        <w:tc>
          <w:tcPr>
            <w:tcW w:type="dxa" w:w="6236"/>
            <w:shd w:fill="F2F2F2" w:val="clear"/>
          </w:tcPr>
          <w:p>
            <w:r>
              <w:rPr>
                <w:sz w:val="18"/>
              </w:rPr>
              <w:t>Some elements exist but gaps remain; started but not completed.</w:t>
            </w:r>
          </w:p>
        </w:tc>
      </w:tr>
      <w:tr>
        <w:tc>
          <w:tcPr>
            <w:tcW w:type="dxa" w:w="2835"/>
          </w:tcPr>
          <w:p>
            <w:r>
              <w:rPr>
                <w:sz w:val="18"/>
              </w:rPr>
              <w:t>TP — Tidak Patuh (Non-Compliant)</w:t>
            </w:r>
          </w:p>
        </w:tc>
        <w:tc>
          <w:tcPr>
            <w:tcW w:type="dxa" w:w="6236"/>
          </w:tcPr>
          <w:p>
            <w:r>
              <w:rPr>
                <w:sz w:val="18"/>
              </w:rPr>
              <w:t>Not met or no evidence; entity not aware of requirement.</w:t>
            </w:r>
          </w:p>
        </w:tc>
      </w:tr>
      <w:tr>
        <w:tc>
          <w:tcPr>
            <w:tcW w:type="dxa" w:w="2835"/>
            <w:shd w:fill="F2F2F2" w:val="clear"/>
          </w:tcPr>
          <w:p>
            <w:r>
              <w:rPr>
                <w:sz w:val="18"/>
              </w:rPr>
              <w:t>TB — Tidak Berkenaan (Not Applicable)</w:t>
            </w:r>
          </w:p>
        </w:tc>
        <w:tc>
          <w:tcPr>
            <w:tcW w:type="dxa" w:w="6236"/>
            <w:shd w:fill="F2F2F2" w:val="clear"/>
          </w:tcPr>
          <w:p>
            <w:r>
              <w:rPr>
                <w:sz w:val="18"/>
              </w:rPr>
              <w:t>Not applicable to entity — written justification required and documented.</w:t>
            </w:r>
          </w:p>
        </w:tc>
      </w:tr>
    </w:tbl>
    <w:p/>
    <w:p>
      <w:pPr>
        <w:pStyle w:val="Heading2"/>
      </w:pPr>
      <w:r>
        <w:t>3.5 Definisi Keterukan Penemuan / Finding Severity Definitions</w:t>
      </w:r>
    </w:p>
    <w:p>
      <w:r>
        <w:t>See Lampiran C for full definitions. Severity is determined using the risk-based approach (threat x vulnerability x impact).</w:t>
      </w:r>
    </w:p>
    <w:p>
      <w:pPr>
        <w:pStyle w:val="Heading2"/>
      </w:pPr>
      <w:r>
        <w:t>3.6 Metodologi Persampelan / Sampling Methodology</w:t>
      </w:r>
    </w:p>
    <w:p>
      <w:r>
        <w:t>Judgmental (non-statistical) sampling applied for all 4 NCII systems. Org-level controls (145 requirements) tested once. System-level controls (65 requirements) tested per NCII system where applicable. Total test procedures executed: 405. Document review, interviews, observation, and system inspection performed.</w:t>
      </w:r>
    </w:p>
    <w:p>
      <w:r>
        <w:br w:type="page"/>
      </w:r>
    </w:p>
    <w:p>
      <w:pPr>
        <w:pStyle w:val="Heading1"/>
      </w:pPr>
      <w:r>
        <w:t>4. Pematuhan Obligasi Berkanun / Statutory Obligation Compliance</w:t>
      </w:r>
    </w:p>
    <w:p>
      <w:r>
        <w:t>Assessment of the entity's compliance with 11 mandatory obligations under Act 854 s17-s27. This section is jointly assessed by the technical audit team and the legal practitioner (Mode 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50"/>
            <w:shd w:fill="1F4E79" w:val="clear"/>
          </w:tcPr>
          <w:p>
            <w:pPr/>
            <w:r>
              <w:rPr>
                <w:b/>
                <w:color w:val="FFFFFF"/>
                <w:sz w:val="18"/>
              </w:rPr>
              <w:t>Seksyen / Section</w:t>
            </w:r>
          </w:p>
        </w:tc>
        <w:tc>
          <w:tcPr>
            <w:tcW w:type="dxa" w:w="3402"/>
            <w:shd w:fill="1F4E79" w:val="clear"/>
          </w:tcPr>
          <w:p>
            <w:pPr/>
            <w:r>
              <w:rPr>
                <w:b/>
                <w:color w:val="FFFFFF"/>
                <w:sz w:val="18"/>
              </w:rPr>
              <w:t>Obligasi / Obligation</w:t>
            </w:r>
          </w:p>
        </w:tc>
        <w:tc>
          <w:tcPr>
            <w:tcW w:type="dxa" w:w="1417"/>
            <w:shd w:fill="1F4E79" w:val="clear"/>
          </w:tcPr>
          <w:p>
            <w:pPr/>
            <w:r>
              <w:rPr>
                <w:b/>
                <w:color w:val="FFFFFF"/>
                <w:sz w:val="18"/>
              </w:rPr>
              <w:t>Status</w:t>
            </w:r>
          </w:p>
        </w:tc>
        <w:tc>
          <w:tcPr>
            <w:tcW w:type="dxa" w:w="3402"/>
            <w:shd w:fill="1F4E79" w:val="clear"/>
          </w:tcPr>
          <w:p>
            <w:pPr/>
            <w:r>
              <w:rPr>
                <w:b/>
                <w:color w:val="FFFFFF"/>
                <w:sz w:val="18"/>
              </w:rPr>
              <w:t>Nota / Notes</w:t>
            </w:r>
          </w:p>
        </w:tc>
      </w:tr>
      <w:tr>
        <w:tc>
          <w:tcPr>
            <w:tcW w:type="dxa" w:w="850"/>
          </w:tcPr>
          <w:p>
            <w:r>
              <w:rPr>
                <w:sz w:val="18"/>
              </w:rPr>
              <w:t>s17</w:t>
            </w:r>
          </w:p>
        </w:tc>
        <w:tc>
          <w:tcPr>
            <w:tcW w:type="dxa" w:w="3402"/>
          </w:tcPr>
          <w:p>
            <w:r>
              <w:rPr>
                <w:sz w:val="18"/>
              </w:rPr>
              <w:t>Designation as NCII Entity</w:t>
              <w:br/>
              <w:t>Perlantikan sebagai Entiti IKMN</w:t>
            </w:r>
          </w:p>
        </w:tc>
        <w:tc>
          <w:tcPr>
            <w:tcW w:type="dxa" w:w="1417"/>
          </w:tcPr>
          <w:p>
            <w:r>
              <w:rPr>
                <w:sz w:val="18"/>
              </w:rPr>
              <w:t>Met</w:t>
            </w:r>
          </w:p>
        </w:tc>
        <w:tc>
          <w:tcPr>
            <w:tcW w:type="dxa" w:w="3402"/>
          </w:tcPr>
          <w:p>
            <w:r>
              <w:rPr>
                <w:sz w:val="18"/>
              </w:rPr>
              <w:t>STS designated 15/03/2025 via written notice from CE.</w:t>
            </w:r>
          </w:p>
        </w:tc>
      </w:tr>
      <w:tr>
        <w:tc>
          <w:tcPr>
            <w:tcW w:type="dxa" w:w="850"/>
            <w:shd w:fill="F2F2F2" w:val="clear"/>
          </w:tcPr>
          <w:p>
            <w:r>
              <w:rPr>
                <w:sz w:val="18"/>
              </w:rPr>
              <w:t>s18</w:t>
            </w:r>
          </w:p>
        </w:tc>
        <w:tc>
          <w:tcPr>
            <w:tcW w:type="dxa" w:w="3402"/>
            <w:shd w:fill="F2F2F2" w:val="clear"/>
          </w:tcPr>
          <w:p>
            <w:r>
              <w:rPr>
                <w:sz w:val="18"/>
              </w:rPr>
              <w:t>General Duties of NCII Entity</w:t>
              <w:br/>
              <w:t>Kewajipan Am Entiti IKMN</w:t>
            </w:r>
          </w:p>
        </w:tc>
        <w:tc>
          <w:tcPr>
            <w:tcW w:type="dxa" w:w="1417"/>
            <w:shd w:fill="F2F2F2" w:val="clear"/>
          </w:tcPr>
          <w:p>
            <w:r>
              <w:rPr>
                <w:sz w:val="18"/>
              </w:rPr>
              <w:t>Met</w:t>
            </w:r>
          </w:p>
        </w:tc>
        <w:tc>
          <w:tcPr>
            <w:tcW w:type="dxa" w:w="3402"/>
            <w:shd w:fill="F2F2F2" w:val="clear"/>
          </w:tcPr>
          <w:p>
            <w:r>
              <w:rPr>
                <w:sz w:val="18"/>
              </w:rPr>
              <w:t>CISO appointed. Board-level cyber security oversight established.</w:t>
            </w:r>
          </w:p>
        </w:tc>
      </w:tr>
      <w:tr>
        <w:tc>
          <w:tcPr>
            <w:tcW w:type="dxa" w:w="850"/>
          </w:tcPr>
          <w:p>
            <w:r>
              <w:rPr>
                <w:sz w:val="18"/>
              </w:rPr>
              <w:t>s19</w:t>
            </w:r>
          </w:p>
        </w:tc>
        <w:tc>
          <w:tcPr>
            <w:tcW w:type="dxa" w:w="3402"/>
          </w:tcPr>
          <w:p>
            <w:r>
              <w:rPr>
                <w:sz w:val="18"/>
              </w:rPr>
              <w:t>Notification of Change of Ownership</w:t>
              <w:br/>
              <w:t>Pemberitahuan Perubahan Pemilikan</w:t>
            </w:r>
          </w:p>
        </w:tc>
        <w:tc>
          <w:tcPr>
            <w:tcW w:type="dxa" w:w="1417"/>
          </w:tcPr>
          <w:p>
            <w:r>
              <w:rPr>
                <w:sz w:val="18"/>
              </w:rPr>
              <w:t>Met</w:t>
            </w:r>
          </w:p>
        </w:tc>
        <w:tc>
          <w:tcPr>
            <w:tcW w:type="dxa" w:w="3402"/>
          </w:tcPr>
          <w:p>
            <w:r>
              <w:rPr>
                <w:sz w:val="18"/>
              </w:rPr>
              <w:t>No ownership changes since designation. Process documented.</w:t>
            </w:r>
          </w:p>
        </w:tc>
      </w:tr>
      <w:tr>
        <w:tc>
          <w:tcPr>
            <w:tcW w:type="dxa" w:w="850"/>
            <w:shd w:fill="F2F2F2" w:val="clear"/>
          </w:tcPr>
          <w:p>
            <w:r>
              <w:rPr>
                <w:sz w:val="18"/>
              </w:rPr>
              <w:t>s20</w:t>
            </w:r>
          </w:p>
        </w:tc>
        <w:tc>
          <w:tcPr>
            <w:tcW w:type="dxa" w:w="3402"/>
            <w:shd w:fill="F2F2F2" w:val="clear"/>
          </w:tcPr>
          <w:p>
            <w:r>
              <w:rPr>
                <w:sz w:val="18"/>
              </w:rPr>
              <w:t>Provision of Information</w:t>
              <w:br/>
              <w:t>Pemberian Maklumat</w:t>
            </w:r>
          </w:p>
        </w:tc>
        <w:tc>
          <w:tcPr>
            <w:tcW w:type="dxa" w:w="1417"/>
            <w:shd w:fill="F2F2F2" w:val="clear"/>
          </w:tcPr>
          <w:p>
            <w:r>
              <w:rPr>
                <w:sz w:val="18"/>
              </w:rPr>
              <w:t>Met</w:t>
            </w:r>
          </w:p>
        </w:tc>
        <w:tc>
          <w:tcPr>
            <w:tcW w:type="dxa" w:w="3402"/>
            <w:shd w:fill="F2F2F2" w:val="clear"/>
          </w:tcPr>
          <w:p>
            <w:r>
              <w:rPr>
                <w:sz w:val="18"/>
              </w:rPr>
              <w:t>Entity responded to NACSA information requests within prescribed periods.</w:t>
            </w:r>
          </w:p>
        </w:tc>
      </w:tr>
      <w:tr>
        <w:tc>
          <w:tcPr>
            <w:tcW w:type="dxa" w:w="850"/>
          </w:tcPr>
          <w:p>
            <w:r>
              <w:rPr>
                <w:sz w:val="18"/>
              </w:rPr>
              <w:t>s21</w:t>
            </w:r>
          </w:p>
        </w:tc>
        <w:tc>
          <w:tcPr>
            <w:tcW w:type="dxa" w:w="3402"/>
          </w:tcPr>
          <w:p>
            <w:r>
              <w:rPr>
                <w:sz w:val="18"/>
              </w:rPr>
              <w:t>Risk Assessment</w:t>
              <w:br/>
              <w:t>Penilaian Risiko</w:t>
            </w:r>
          </w:p>
        </w:tc>
        <w:tc>
          <w:tcPr>
            <w:tcW w:type="dxa" w:w="1417"/>
          </w:tcPr>
          <w:p>
            <w:r>
              <w:rPr>
                <w:sz w:val="18"/>
              </w:rPr>
              <w:t>NOT MET</w:t>
            </w:r>
          </w:p>
        </w:tc>
        <w:tc>
          <w:tcPr>
            <w:tcW w:type="dxa" w:w="3402"/>
          </w:tcPr>
          <w:p>
            <w:r>
              <w:rPr>
                <w:sz w:val="18"/>
              </w:rPr>
              <w:t>Risk assessment conducted but report NOT submitted to CE within 30 days. Report overdue by 52 days as at audit date. See Finding CoP-2026-002.</w:t>
            </w:r>
          </w:p>
        </w:tc>
      </w:tr>
      <w:tr>
        <w:tc>
          <w:tcPr>
            <w:tcW w:type="dxa" w:w="850"/>
            <w:shd w:fill="F2F2F2" w:val="clear"/>
          </w:tcPr>
          <w:p>
            <w:r>
              <w:rPr>
                <w:sz w:val="18"/>
              </w:rPr>
              <w:t>s22</w:t>
            </w:r>
          </w:p>
        </w:tc>
        <w:tc>
          <w:tcPr>
            <w:tcW w:type="dxa" w:w="3402"/>
            <w:shd w:fill="F2F2F2" w:val="clear"/>
          </w:tcPr>
          <w:p>
            <w:r>
              <w:rPr>
                <w:sz w:val="18"/>
              </w:rPr>
              <w:t>Audit and CoP Compliance</w:t>
              <w:br/>
              <w:t>Audit dan Pematuhan Tataamalan</w:t>
            </w:r>
          </w:p>
        </w:tc>
        <w:tc>
          <w:tcPr>
            <w:tcW w:type="dxa" w:w="1417"/>
            <w:shd w:fill="F2F2F2" w:val="clear"/>
          </w:tcPr>
          <w:p>
            <w:r>
              <w:rPr>
                <w:sz w:val="18"/>
              </w:rPr>
              <w:t>Met</w:t>
            </w:r>
          </w:p>
        </w:tc>
        <w:tc>
          <w:tcPr>
            <w:tcW w:type="dxa" w:w="3402"/>
            <w:shd w:fill="F2F2F2" w:val="clear"/>
          </w:tcPr>
          <w:p>
            <w:r>
              <w:rPr>
                <w:sz w:val="18"/>
              </w:rPr>
              <w:t>This audit conducted within prescribed period. CoP compliance assessed herein.</w:t>
            </w:r>
          </w:p>
        </w:tc>
      </w:tr>
      <w:tr>
        <w:tc>
          <w:tcPr>
            <w:tcW w:type="dxa" w:w="850"/>
          </w:tcPr>
          <w:p>
            <w:r>
              <w:rPr>
                <w:sz w:val="18"/>
              </w:rPr>
              <w:t>s23</w:t>
            </w:r>
          </w:p>
        </w:tc>
        <w:tc>
          <w:tcPr>
            <w:tcW w:type="dxa" w:w="3402"/>
          </w:tcPr>
          <w:p>
            <w:r>
              <w:rPr>
                <w:sz w:val="18"/>
              </w:rPr>
              <w:t>Audit Report Submission</w:t>
              <w:br/>
              <w:t>Penghantaran Laporan Audit</w:t>
            </w:r>
          </w:p>
        </w:tc>
        <w:tc>
          <w:tcPr>
            <w:tcW w:type="dxa" w:w="1417"/>
          </w:tcPr>
          <w:p>
            <w:r>
              <w:rPr>
                <w:sz w:val="18"/>
              </w:rPr>
              <w:t>Pending</w:t>
            </w:r>
          </w:p>
        </w:tc>
        <w:tc>
          <w:tcPr>
            <w:tcW w:type="dxa" w:w="3402"/>
          </w:tcPr>
          <w:p>
            <w:r>
              <w:rPr>
                <w:sz w:val="18"/>
              </w:rPr>
              <w:t>Report to be submitted within 30 days of audit completion.</w:t>
            </w:r>
          </w:p>
        </w:tc>
      </w:tr>
      <w:tr>
        <w:tc>
          <w:tcPr>
            <w:tcW w:type="dxa" w:w="850"/>
            <w:shd w:fill="F2F2F2" w:val="clear"/>
          </w:tcPr>
          <w:p>
            <w:r>
              <w:rPr>
                <w:sz w:val="18"/>
              </w:rPr>
              <w:t>s24</w:t>
            </w:r>
          </w:p>
        </w:tc>
        <w:tc>
          <w:tcPr>
            <w:tcW w:type="dxa" w:w="3402"/>
            <w:shd w:fill="F2F2F2" w:val="clear"/>
          </w:tcPr>
          <w:p>
            <w:r>
              <w:rPr>
                <w:sz w:val="18"/>
              </w:rPr>
              <w:t>Compliance with Standards</w:t>
              <w:br/>
              <w:t>Pematuhan Piawaian</w:t>
            </w:r>
          </w:p>
        </w:tc>
        <w:tc>
          <w:tcPr>
            <w:tcW w:type="dxa" w:w="1417"/>
            <w:shd w:fill="F2F2F2" w:val="clear"/>
          </w:tcPr>
          <w:p>
            <w:r>
              <w:rPr>
                <w:sz w:val="18"/>
              </w:rPr>
              <w:t>Met</w:t>
            </w:r>
          </w:p>
        </w:tc>
        <w:tc>
          <w:tcPr>
            <w:tcW w:type="dxa" w:w="3402"/>
            <w:shd w:fill="F2F2F2" w:val="clear"/>
          </w:tcPr>
          <w:p>
            <w:r>
              <w:rPr>
                <w:sz w:val="18"/>
              </w:rPr>
              <w:t>No additional standards imposed by CE beyond CoP.</w:t>
            </w:r>
          </w:p>
        </w:tc>
      </w:tr>
      <w:tr>
        <w:tc>
          <w:tcPr>
            <w:tcW w:type="dxa" w:w="850"/>
          </w:tcPr>
          <w:p>
            <w:r>
              <w:rPr>
                <w:sz w:val="18"/>
              </w:rPr>
              <w:t>s25</w:t>
            </w:r>
          </w:p>
        </w:tc>
        <w:tc>
          <w:tcPr>
            <w:tcW w:type="dxa" w:w="3402"/>
          </w:tcPr>
          <w:p>
            <w:r>
              <w:rPr>
                <w:sz w:val="18"/>
              </w:rPr>
              <w:t>Cyber Threat Information Sharing</w:t>
              <w:br/>
              <w:t>Perkongsian Maklumat Ancaman</w:t>
            </w:r>
          </w:p>
        </w:tc>
        <w:tc>
          <w:tcPr>
            <w:tcW w:type="dxa" w:w="1417"/>
          </w:tcPr>
          <w:p>
            <w:r>
              <w:rPr>
                <w:sz w:val="18"/>
              </w:rPr>
              <w:t>NOT MET</w:t>
            </w:r>
          </w:p>
        </w:tc>
        <w:tc>
          <w:tcPr>
            <w:tcW w:type="dxa" w:w="3402"/>
          </w:tcPr>
          <w:p>
            <w:r>
              <w:rPr>
                <w:sz w:val="18"/>
              </w:rPr>
              <w:t>Entity not registered as authorised person with NACSA for threat intel sharing. See Finding DIR-2026-001.</w:t>
            </w:r>
          </w:p>
        </w:tc>
      </w:tr>
      <w:tr>
        <w:tc>
          <w:tcPr>
            <w:tcW w:type="dxa" w:w="850"/>
            <w:shd w:fill="F2F2F2" w:val="clear"/>
          </w:tcPr>
          <w:p>
            <w:r>
              <w:rPr>
                <w:sz w:val="18"/>
              </w:rPr>
              <w:t>s26</w:t>
            </w:r>
          </w:p>
        </w:tc>
        <w:tc>
          <w:tcPr>
            <w:tcW w:type="dxa" w:w="3402"/>
            <w:shd w:fill="F2F2F2" w:val="clear"/>
          </w:tcPr>
          <w:p>
            <w:r>
              <w:rPr>
                <w:sz w:val="18"/>
              </w:rPr>
              <w:t>Incident Notification (6-hour)</w:t>
              <w:br/>
              <w:t>Pemberitahuan Insiden (6 jam)</w:t>
            </w:r>
          </w:p>
        </w:tc>
        <w:tc>
          <w:tcPr>
            <w:tcW w:type="dxa" w:w="1417"/>
            <w:shd w:fill="F2F2F2" w:val="clear"/>
          </w:tcPr>
          <w:p>
            <w:r>
              <w:rPr>
                <w:sz w:val="18"/>
              </w:rPr>
              <w:t>NOT MET</w:t>
            </w:r>
          </w:p>
        </w:tc>
        <w:tc>
          <w:tcPr>
            <w:tcW w:type="dxa" w:w="3402"/>
            <w:shd w:fill="F2F2F2" w:val="clear"/>
          </w:tcPr>
          <w:p>
            <w:r>
              <w:rPr>
                <w:sz w:val="18"/>
              </w:rPr>
              <w:t>CSIRT not established. 6-hour notification process not tested. NC4 portal access not configured. See Finding CoP-2026-001.</w:t>
            </w:r>
          </w:p>
        </w:tc>
      </w:tr>
      <w:tr>
        <w:tc>
          <w:tcPr>
            <w:tcW w:type="dxa" w:w="850"/>
          </w:tcPr>
          <w:p>
            <w:r>
              <w:rPr>
                <w:sz w:val="18"/>
              </w:rPr>
              <w:t>s27</w:t>
            </w:r>
          </w:p>
        </w:tc>
        <w:tc>
          <w:tcPr>
            <w:tcW w:type="dxa" w:w="3402"/>
          </w:tcPr>
          <w:p>
            <w:r>
              <w:rPr>
                <w:sz w:val="18"/>
              </w:rPr>
              <w:t>Compliance with CE Directives</w:t>
              <w:br/>
              <w:t>Pematuhan Arahan KE</w:t>
            </w:r>
          </w:p>
        </w:tc>
        <w:tc>
          <w:tcPr>
            <w:tcW w:type="dxa" w:w="1417"/>
          </w:tcPr>
          <w:p>
            <w:r>
              <w:rPr>
                <w:sz w:val="18"/>
              </w:rPr>
              <w:t>Partial</w:t>
            </w:r>
          </w:p>
        </w:tc>
        <w:tc>
          <w:tcPr>
            <w:tcW w:type="dxa" w:w="3402"/>
          </w:tcPr>
          <w:p>
            <w:r>
              <w:rPr>
                <w:sz w:val="18"/>
              </w:rPr>
              <w:t>Non-compliance with Directive 01 (CSIRT) and Directive 05 (RA submission).</w:t>
            </w:r>
          </w:p>
        </w:tc>
      </w:tr>
    </w:tbl>
    <w:p>
      <w:r>
        <w:br w:type="page"/>
      </w:r>
    </w:p>
    <w:p>
      <w:pPr>
        <w:pStyle w:val="Heading1"/>
      </w:pPr>
      <w:r>
        <w:t>5. Penilaian Liabiliti Pengarah (s52) / Director Liability Assessment</w:t>
      </w:r>
    </w:p>
    <w:p>
      <w:r>
        <w:t>Under s52 of Act 854, where a body corporate commits an offence under the Act, every director, chief executive officer, chief operating officer, manager, secretary, or other similar officer shall be deemed to have committed that offence unless they can prove the offence was committed without their consent or connivance, and that they exercised due diligence to prevent the commission of the offence.</w:t>
      </w:r>
    </w:p>
    <w:p>
      <w:pPr>
        <w:pStyle w:val="Heading2"/>
      </w:pPr>
      <w:r>
        <w:t>5.1 Penilaian / Assessment</w:t>
      </w:r>
    </w:p>
    <w:p>
      <w:pPr>
        <w:pStyle w:val="ListBullet"/>
      </w:pPr>
      <w:r>
        <w:t>Three statutory obligations assessed as NOT MET: s21 (risk assessment submission), s25 (threat information sharing), and s26 (incident notification). Per s52 of Act 854, these non-compliances constitute offences that may trigger director liability.</w:t>
      </w:r>
    </w:p>
    <w:p>
      <w:pPr>
        <w:pStyle w:val="ListBullet"/>
      </w:pPr>
      <w:r>
        <w:t>The audit team found that management was aware of the CSIRT requirement (s26/Directive 01) but had not allocated budget for its establishment. The Board approved the FY2026 budget without a CSIRT line item despite the CISO's recommendation.</w:t>
      </w:r>
    </w:p>
    <w:p>
      <w:pPr>
        <w:pStyle w:val="ListBullet"/>
      </w:pPr>
      <w:r>
        <w:t>For s21, the CISO completed the risk assessment on time but the report was pending CEO sign-off for 52 days due to competing priorities. This represents a failure of management oversight, not a technical capability gap.</w:t>
      </w:r>
    </w:p>
    <w:p>
      <w:pPr>
        <w:pStyle w:val="ListBullet"/>
      </w:pPr>
      <w:r>
        <w:t>Due diligence defence under s52(2): The CISO can demonstrate that the offence was committed without their consent (they recommended the CSIRT budget and flagged the s21 submission deadline). The CEO and CFO face higher s52 exposure.</w:t>
      </w:r>
    </w:p>
    <w:p>
      <w:pPr>
        <w:pStyle w:val="Heading2"/>
      </w:pPr>
      <w:r>
        <w:t>5.2 Pegawai Berkaitan / Relevant Officers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fill="1F4E79" w:val="clear"/>
          </w:tcPr>
          <w:p>
            <w:pPr/>
            <w:r>
              <w:rPr>
                <w:b/>
                <w:color w:val="FFFFFF"/>
                <w:sz w:val="18"/>
              </w:rPr>
              <w:t>Jawatan / Position</w:t>
            </w:r>
          </w:p>
        </w:tc>
        <w:tc>
          <w:tcPr>
            <w:tcW w:type="dxa" w:w="2268"/>
            <w:shd w:fill="1F4E79" w:val="clear"/>
          </w:tcPr>
          <w:p>
            <w:pPr/>
            <w:r>
              <w:rPr>
                <w:b/>
                <w:color w:val="FFFFFF"/>
                <w:sz w:val="18"/>
              </w:rPr>
              <w:t>Nama / Name</w:t>
            </w:r>
          </w:p>
        </w:tc>
        <w:tc>
          <w:tcPr>
            <w:tcW w:type="dxa" w:w="1701"/>
            <w:shd w:fill="1F4E79" w:val="clear"/>
          </w:tcPr>
          <w:p>
            <w:pPr/>
            <w:r>
              <w:rPr>
                <w:b/>
                <w:color w:val="FFFFFF"/>
                <w:sz w:val="18"/>
              </w:rPr>
              <w:t>Tahap Risiko / Risk Level</w:t>
            </w:r>
          </w:p>
        </w:tc>
        <w:tc>
          <w:tcPr>
            <w:tcW w:type="dxa" w:w="2835"/>
            <w:shd w:fill="1F4E79" w:val="clear"/>
          </w:tcPr>
          <w:p>
            <w:pPr/>
            <w:r>
              <w:rPr>
                <w:b/>
                <w:color w:val="FFFFFF"/>
                <w:sz w:val="18"/>
              </w:rPr>
              <w:t>Nota / Notes</w:t>
            </w:r>
          </w:p>
        </w:tc>
      </w:tr>
      <w:tr>
        <w:tc>
          <w:tcPr>
            <w:tcW w:type="dxa" w:w="2268"/>
          </w:tcPr>
          <w:p>
            <w:r>
              <w:rPr>
                <w:sz w:val="18"/>
              </w:rPr>
              <w:t>Chief Executive Officer</w:t>
            </w:r>
          </w:p>
        </w:tc>
        <w:tc>
          <w:tcPr>
            <w:tcW w:type="dxa" w:w="2268"/>
          </w:tcPr>
          <w:p>
            <w:r>
              <w:rPr>
                <w:sz w:val="18"/>
              </w:rPr>
              <w:t>Encik Kamal bin Yusoff</w:t>
            </w:r>
          </w:p>
        </w:tc>
        <w:tc>
          <w:tcPr>
            <w:tcW w:type="dxa" w:w="1701"/>
          </w:tcPr>
          <w:p>
            <w:r>
              <w:rPr>
                <w:sz w:val="18"/>
              </w:rPr>
              <w:t>High</w:t>
            </w:r>
          </w:p>
        </w:tc>
        <w:tc>
          <w:tcPr>
            <w:tcW w:type="dxa" w:w="2835"/>
          </w:tcPr>
          <w:p>
            <w:r>
              <w:rPr>
                <w:sz w:val="18"/>
              </w:rPr>
              <w:t>Approved budget without CSIRT allocation despite CISO recommendation</w:t>
            </w:r>
          </w:p>
        </w:tc>
      </w:tr>
      <w:tr>
        <w:tc>
          <w:tcPr>
            <w:tcW w:type="dxa" w:w="2268"/>
            <w:shd w:fill="F2F2F2" w:val="clear"/>
          </w:tcPr>
          <w:p>
            <w:r>
              <w:rPr>
                <w:sz w:val="18"/>
              </w:rPr>
              <w:t>Chief Financial Officer</w:t>
            </w:r>
          </w:p>
        </w:tc>
        <w:tc>
          <w:tcPr>
            <w:tcW w:type="dxa" w:w="2268"/>
            <w:shd w:fill="F2F2F2" w:val="clear"/>
          </w:tcPr>
          <w:p>
            <w:r>
              <w:rPr>
                <w:sz w:val="18"/>
              </w:rPr>
              <w:t>Puan Farah binti Hassan</w:t>
            </w:r>
          </w:p>
        </w:tc>
        <w:tc>
          <w:tcPr>
            <w:tcW w:type="dxa" w:w="1701"/>
            <w:shd w:fill="F2F2F2" w:val="clear"/>
          </w:tcPr>
          <w:p>
            <w:r>
              <w:rPr>
                <w:sz w:val="18"/>
              </w:rPr>
              <w:t>High</w:t>
            </w:r>
          </w:p>
        </w:tc>
        <w:tc>
          <w:tcPr>
            <w:tcW w:type="dxa" w:w="2835"/>
            <w:shd w:fill="F2F2F2" w:val="clear"/>
          </w:tcPr>
          <w:p>
            <w:r>
              <w:rPr>
                <w:sz w:val="18"/>
              </w:rPr>
              <w:t>Did not approve CSIRT budget request; delayed s21 report sign-off</w:t>
            </w:r>
          </w:p>
        </w:tc>
      </w:tr>
      <w:tr>
        <w:tc>
          <w:tcPr>
            <w:tcW w:type="dxa" w:w="2268"/>
          </w:tcPr>
          <w:p>
            <w:r>
              <w:rPr>
                <w:sz w:val="18"/>
              </w:rPr>
              <w:t>Chief Information Security Officer</w:t>
            </w:r>
          </w:p>
        </w:tc>
        <w:tc>
          <w:tcPr>
            <w:tcW w:type="dxa" w:w="2268"/>
          </w:tcPr>
          <w:p>
            <w:r>
              <w:rPr>
                <w:sz w:val="18"/>
              </w:rPr>
              <w:t>Encik Rizwan bin Abdullah</w:t>
            </w:r>
          </w:p>
        </w:tc>
        <w:tc>
          <w:tcPr>
            <w:tcW w:type="dxa" w:w="1701"/>
          </w:tcPr>
          <w:p>
            <w:r>
              <w:rPr>
                <w:sz w:val="18"/>
              </w:rPr>
              <w:t>Low</w:t>
            </w:r>
          </w:p>
        </w:tc>
        <w:tc>
          <w:tcPr>
            <w:tcW w:type="dxa" w:w="2835"/>
          </w:tcPr>
          <w:p>
            <w:r>
              <w:rPr>
                <w:sz w:val="18"/>
              </w:rPr>
              <w:t>Documented recommendations for CSIRT and s21 compliance; overruled by management</w:t>
            </w:r>
          </w:p>
        </w:tc>
      </w:tr>
      <w:tr>
        <w:tc>
          <w:tcPr>
            <w:tcW w:type="dxa" w:w="2268"/>
            <w:shd w:fill="F2F2F2" w:val="clear"/>
          </w:tcPr>
          <w:p>
            <w:r>
              <w:rPr>
                <w:sz w:val="18"/>
              </w:rPr>
              <w:t>Chief Technology Officer</w:t>
            </w:r>
          </w:p>
        </w:tc>
        <w:tc>
          <w:tcPr>
            <w:tcW w:type="dxa" w:w="2268"/>
            <w:shd w:fill="F2F2F2" w:val="clear"/>
          </w:tcPr>
          <w:p>
            <w:r>
              <w:rPr>
                <w:sz w:val="18"/>
              </w:rPr>
              <w:t>Ir. Tan Mei Ling</w:t>
            </w:r>
          </w:p>
        </w:tc>
        <w:tc>
          <w:tcPr>
            <w:tcW w:type="dxa" w:w="1701"/>
            <w:shd w:fill="F2F2F2" w:val="clear"/>
          </w:tcPr>
          <w:p>
            <w:r>
              <w:rPr>
                <w:sz w:val="18"/>
              </w:rPr>
              <w:t>Medium</w:t>
            </w:r>
          </w:p>
        </w:tc>
        <w:tc>
          <w:tcPr>
            <w:tcW w:type="dxa" w:w="2835"/>
            <w:shd w:fill="F2F2F2" w:val="clear"/>
          </w:tcPr>
          <w:p>
            <w:r>
              <w:rPr>
                <w:sz w:val="18"/>
              </w:rPr>
              <w:t>Did not escalate SCADA firewall review gap; responsible for technical controls</w:t>
            </w:r>
          </w:p>
        </w:tc>
      </w:tr>
    </w:tbl>
    <w:p/>
    <w:p>
      <w:r>
        <w:t>Note: This assessment covers Mode A (factual findings included in audit report). The full Mode B privileged legal opinion on director liability is a separate, confidential deliverable to the audit committee.</w:t>
      </w:r>
    </w:p>
    <w:p>
      <w:r>
        <w:br w:type="page"/>
      </w:r>
    </w:p>
    <w:p>
      <w:pPr>
        <w:pStyle w:val="Heading1"/>
      </w:pPr>
      <w:r>
        <w:t>6. Penemuan Mengikut Domain CoP / Findings by CoP Domain (Tier 1)</w:t>
      </w:r>
    </w:p>
    <w:p>
      <w:r>
        <w:t>This section presents Tier 1 (SHALL) findings organised by CoP domain (4.0-21.0). Each finding uses the 5 C's framework per CE Directive 08 para 20: Condition, Criteria, Cause, Consequence, and Corrective Action.</w:t>
      </w:r>
    </w:p>
    <w:p>
      <w:pPr>
        <w:pStyle w:val="Heading2"/>
      </w:pPr>
      <w:r>
        <w:t>6.1 CoP 18.0 — Cyber Security Incident Management</w:t>
      </w:r>
    </w:p>
    <w:p>
      <w:r>
        <w:t>Domain compliance: 2 P / 1 SP / 3 TP / 0 TB out of 6 Tier 1 requirements</w:t>
      </w:r>
    </w:p>
    <w:p>
      <w:pPr>
        <w:pStyle w:val="Heading3"/>
      </w:pPr>
      <w:r>
        <w:t>Penemuan / Finding: CoP-2026-001</w:t>
      </w:r>
    </w:p>
    <w:tbl>
      <w:tblPr>
        <w:tblStyle w:val="TableGrid"/>
        <w:tblW w:type="auto" w:w="0"/>
        <w:jc w:val="center"/>
        <w:tblLook w:firstColumn="1" w:firstRow="1" w:lastColumn="0" w:lastRow="0" w:noHBand="0" w:noVBand="1" w:val="04A0"/>
      </w:tblPr>
      <w:tblGrid>
        <w:gridCol w:w="4320"/>
        <w:gridCol w:w="4320"/>
      </w:tblGrid>
      <w:tr>
        <w:tc>
          <w:tcPr>
            <w:tcW w:type="dxa" w:w="2835"/>
            <w:shd w:fill="D6E4F0" w:val="clear"/>
          </w:tcPr>
          <w:p>
            <w:r>
              <w:rPr>
                <w:b/>
                <w:sz w:val="18"/>
              </w:rPr>
              <w:t>ID Penemuan / Finding ID</w:t>
            </w:r>
          </w:p>
        </w:tc>
        <w:tc>
          <w:tcPr>
            <w:tcW w:type="dxa" w:w="6236"/>
          </w:tcPr>
          <w:p>
            <w:r>
              <w:rPr>
                <w:sz w:val="18"/>
              </w:rPr>
              <w:t>CoP-2026-001</w:t>
            </w:r>
          </w:p>
        </w:tc>
      </w:tr>
      <w:tr>
        <w:tc>
          <w:tcPr>
            <w:tcW w:type="dxa" w:w="2835"/>
            <w:shd w:fill="D6E4F0" w:val="clear"/>
          </w:tcPr>
          <w:p>
            <w:r>
              <w:rPr>
                <w:b/>
                <w:sz w:val="18"/>
              </w:rPr>
              <w:t>Tajuk / Title</w:t>
            </w:r>
          </w:p>
        </w:tc>
        <w:tc>
          <w:tcPr>
            <w:tcW w:type="dxa" w:w="6236"/>
          </w:tcPr>
          <w:p>
            <w:r>
              <w:rPr>
                <w:sz w:val="18"/>
              </w:rPr>
              <w:t>CSIRT Tidak Ditubuhkan, Proses Pemberitahuan 6 Jam Tidak Diuji / CSIRT Not Established, 6-Hour Notification Process Untested</w:t>
            </w:r>
          </w:p>
        </w:tc>
      </w:tr>
      <w:tr>
        <w:tc>
          <w:tcPr>
            <w:tcW w:type="dxa" w:w="2835"/>
            <w:shd w:fill="D6E4F0" w:val="clear"/>
          </w:tcPr>
          <w:p>
            <w:r>
              <w:rPr>
                <w:b/>
                <w:sz w:val="18"/>
              </w:rPr>
              <w:t>Rujukan CoP / CoP Reference</w:t>
            </w:r>
          </w:p>
        </w:tc>
        <w:tc>
          <w:tcPr>
            <w:tcW w:type="dxa" w:w="6236"/>
          </w:tcPr>
          <w:p>
            <w:r>
              <w:rPr>
                <w:sz w:val="18"/>
              </w:rPr>
              <w:t>CoP 18.0 — Cyber Security Incident Management</w:t>
            </w:r>
          </w:p>
        </w:tc>
      </w:tr>
      <w:tr>
        <w:tc>
          <w:tcPr>
            <w:tcW w:type="dxa" w:w="2835"/>
            <w:shd w:fill="D6E4F0" w:val="clear"/>
          </w:tcPr>
          <w:p>
            <w:r>
              <w:rPr>
                <w:b/>
                <w:sz w:val="18"/>
              </w:rPr>
              <w:t>Rujukan Klausa / Clause Reference</w:t>
            </w:r>
          </w:p>
        </w:tc>
        <w:tc>
          <w:tcPr>
            <w:tcW w:type="dxa" w:w="6236"/>
          </w:tcPr>
          <w:p>
            <w:r>
              <w:rPr>
                <w:sz w:val="18"/>
              </w:rPr>
              <w:t>CoP 18.1.1.1 — "The NCII entity shall establish a Cyber Security Incident Management Procedure (CSIMP) to ensure effective preparation and response to cyber security incidents."</w:t>
            </w:r>
          </w:p>
        </w:tc>
      </w:tr>
      <w:tr>
        <w:tc>
          <w:tcPr>
            <w:tcW w:type="dxa" w:w="2835"/>
            <w:shd w:fill="D6E4F0" w:val="clear"/>
          </w:tcPr>
          <w:p>
            <w:r>
              <w:rPr>
                <w:b/>
                <w:sz w:val="18"/>
              </w:rPr>
              <w:t>Sistem (jika berkenaan) / System</w:t>
            </w:r>
          </w:p>
        </w:tc>
        <w:tc>
          <w:tcPr>
            <w:tcW w:type="dxa" w:w="6236"/>
          </w:tcPr>
          <w:p>
            <w:r>
              <w:rPr>
                <w:sz w:val="18"/>
              </w:rPr>
              <w:t>All 4 NCII systems (org-level control)</w:t>
            </w:r>
          </w:p>
        </w:tc>
      </w:tr>
      <w:tr>
        <w:tc>
          <w:tcPr>
            <w:tcW w:type="dxa" w:w="2835"/>
            <w:shd w:fill="D6E4F0" w:val="clear"/>
          </w:tcPr>
          <w:p>
            <w:r>
              <w:rPr>
                <w:b/>
                <w:sz w:val="18"/>
              </w:rPr>
              <w:t>Keterukan / Severity</w:t>
            </w:r>
          </w:p>
        </w:tc>
        <w:tc>
          <w:tcPr>
            <w:tcW w:type="dxa" w:w="6236"/>
          </w:tcPr>
          <w:p>
            <w:r>
              <w:rPr>
                <w:sz w:val="18"/>
              </w:rPr>
              <w:t>Kritikal (Critical)</w:t>
            </w:r>
          </w:p>
        </w:tc>
      </w:tr>
      <w:tr>
        <w:tc>
          <w:tcPr>
            <w:tcW w:type="dxa" w:w="2835"/>
            <w:shd w:fill="D6E4F0" w:val="clear"/>
          </w:tcPr>
          <w:p>
            <w:r>
              <w:rPr>
                <w:b/>
                <w:sz w:val="18"/>
              </w:rPr>
              <w:t>Keadaan Sebenar / Condition</w:t>
            </w:r>
          </w:p>
        </w:tc>
        <w:tc>
          <w:tcPr>
            <w:tcW w:type="dxa" w:w="6236"/>
          </w:tcPr>
          <w:p>
            <w:r>
              <w:rPr>
                <w:sz w:val="18"/>
              </w:rPr>
              <w:t>Audit inspection confirmed that STS has not established a Cyber Security Incident Response Team (CSIRT) as at the audit date (14/02/2026). No CSIMP document exists. The entity has no defined incident escalation procedure, no designated incident handlers, and no tested process for notifying the NACSA CE within the mandatory 6-hour window via the NC4 portal. The NC4 portal account has not been activated. Interview with the CISO (Encik Rizwan, 22/01/2026) confirmed that a CSIRT establishment proposal was submitted to the Board in Q3 2025 but was not approved due to budget constraints.</w:t>
            </w:r>
          </w:p>
        </w:tc>
      </w:tr>
      <w:tr>
        <w:tc>
          <w:tcPr>
            <w:tcW w:type="dxa" w:w="2835"/>
            <w:shd w:fill="D6E4F0" w:val="clear"/>
          </w:tcPr>
          <w:p>
            <w:r>
              <w:rPr>
                <w:b/>
                <w:sz w:val="18"/>
              </w:rPr>
              <w:t>Kriteria / Criteria</w:t>
            </w:r>
          </w:p>
        </w:tc>
        <w:tc>
          <w:tcPr>
            <w:tcW w:type="dxa" w:w="6236"/>
          </w:tcPr>
          <w:p>
            <w:r>
              <w:rPr>
                <w:sz w:val="18"/>
              </w:rPr>
              <w:t>CoP 18.1.1.1 requires establishment of a CSIMP. CE Directive 01 requires CSIRT establishment. s26 of Act 854 requires notification of cyber security incidents to the CE within 6 hours via NC4 portal per P.U.(A) 220/2024. CE Directive 06 prescribes the notification process.</w:t>
            </w:r>
          </w:p>
        </w:tc>
      </w:tr>
      <w:tr>
        <w:tc>
          <w:tcPr>
            <w:tcW w:type="dxa" w:w="2835"/>
            <w:shd w:fill="D6E4F0" w:val="clear"/>
          </w:tcPr>
          <w:p>
            <w:r>
              <w:rPr>
                <w:b/>
                <w:sz w:val="18"/>
              </w:rPr>
              <w:t>Punca Masalah / Cause</w:t>
            </w:r>
          </w:p>
        </w:tc>
        <w:tc>
          <w:tcPr>
            <w:tcW w:type="dxa" w:w="6236"/>
          </w:tcPr>
          <w:p>
            <w:r>
              <w:rPr>
                <w:sz w:val="18"/>
              </w:rPr>
              <w:t>Management did not allocate budget for CSIRT establishment in FY2025 or FY2026 despite the CISO's recommendation. The Board prioritised capital expenditure on smart grid expansion over cyber security capability building.</w:t>
            </w:r>
          </w:p>
        </w:tc>
      </w:tr>
      <w:tr>
        <w:tc>
          <w:tcPr>
            <w:tcW w:type="dxa" w:w="2835"/>
            <w:shd w:fill="D6E4F0" w:val="clear"/>
          </w:tcPr>
          <w:p>
            <w:r>
              <w:rPr>
                <w:b/>
                <w:sz w:val="18"/>
              </w:rPr>
              <w:t>Impak / Consequence</w:t>
            </w:r>
          </w:p>
        </w:tc>
        <w:tc>
          <w:tcPr>
            <w:tcW w:type="dxa" w:w="6236"/>
          </w:tcPr>
          <w:p>
            <w:r>
              <w:rPr>
                <w:sz w:val="18"/>
              </w:rPr>
              <w:t>Without a CSIRT, the entity cannot detect, classify, or respond to cyber security incidents affecting the SCADA control system or other NCII. A ransomware attack or state-sponsored intrusion targeting the energy grid could proceed undetected and unreported, potentially disrupting electricity supply to ~180,000 consumers in the Northern Region. Non-compliance with s26 exposes the entity to a fine not exceeding RM500,000 or imprisonment not exceeding 10 years or both. s52 director liability applies.</w:t>
            </w:r>
          </w:p>
        </w:tc>
      </w:tr>
      <w:tr>
        <w:tc>
          <w:tcPr>
            <w:tcW w:type="dxa" w:w="2835"/>
            <w:shd w:fill="D6E4F0" w:val="clear"/>
          </w:tcPr>
          <w:p>
            <w:r>
              <w:rPr>
                <w:b/>
                <w:sz w:val="18"/>
              </w:rPr>
              <w:t>Peluang Penambahbaikan / Corrective Action</w:t>
            </w:r>
          </w:p>
        </w:tc>
        <w:tc>
          <w:tcPr>
            <w:tcW w:type="dxa" w:w="6236"/>
          </w:tcPr>
          <w:p>
            <w:r>
              <w:rPr>
                <w:sz w:val="18"/>
              </w:rPr>
              <w:t>1. Establish CSIRT with defined roles, responsibilities, and authority within 30 days.</w:t>
              <w:br/>
              <w:t>2. Develop and approve CSIMP covering all 4 NCII systems.</w:t>
              <w:br/>
              <w:t>3. Activate NC4 portal access and configure 6-hour notification workflow.</w:t>
              <w:br/>
              <w:t>4. Conduct tabletop exercise simulating a SCADA-targeted incident.</w:t>
              <w:br/>
              <w:t>5. Register authorised persons with NACSA per CE Directive 02.</w:t>
            </w:r>
          </w:p>
        </w:tc>
      </w:tr>
      <w:tr>
        <w:tc>
          <w:tcPr>
            <w:tcW w:type="dxa" w:w="2835"/>
            <w:shd w:fill="D6E4F0" w:val="clear"/>
          </w:tcPr>
          <w:p>
            <w:r>
              <w:rPr>
                <w:b/>
                <w:sz w:val="18"/>
              </w:rPr>
              <w:t>Klasifikasi Undang-Undang / Legal Classification</w:t>
            </w:r>
          </w:p>
        </w:tc>
        <w:tc>
          <w:tcPr>
            <w:tcW w:type="dxa" w:w="6236"/>
          </w:tcPr>
          <w:p>
            <w:r>
              <w:rPr>
                <w:sz w:val="18"/>
              </w:rPr>
              <w:t>Statutory (s26) + CE Directive 01 + CoP 18.1.1</w:t>
            </w:r>
          </w:p>
        </w:tc>
      </w:tr>
      <w:tr>
        <w:tc>
          <w:tcPr>
            <w:tcW w:type="dxa" w:w="2835"/>
            <w:shd w:fill="D6E4F0" w:val="clear"/>
          </w:tcPr>
          <w:p>
            <w:r>
              <w:rPr>
                <w:b/>
                <w:sz w:val="18"/>
              </w:rPr>
              <w:t>Boleh Dikompaun? / Compoundable?</w:t>
            </w:r>
          </w:p>
        </w:tc>
        <w:tc>
          <w:tcPr>
            <w:tcW w:type="dxa" w:w="6236"/>
          </w:tcPr>
          <w:p>
            <w:r>
              <w:rPr>
                <w:sz w:val="18"/>
              </w:rPr>
              <w:t>s26: No — not a compoundable offence. Must prosecute if charged.</w:t>
            </w:r>
          </w:p>
        </w:tc>
      </w:tr>
    </w:tbl>
    <w:p/>
    <w:p>
      <w:pPr>
        <w:pStyle w:val="Heading2"/>
      </w:pPr>
      <w:r>
        <w:t>6.2 CoP 9.0 — Risk Management</w:t>
      </w:r>
    </w:p>
    <w:p>
      <w:r>
        <w:t>Domain compliance: 14 P / 3 SP / 2 TP / 0 TB out of 19 Tier 1 requirements</w:t>
      </w:r>
    </w:p>
    <w:p>
      <w:pPr>
        <w:pStyle w:val="Heading3"/>
      </w:pPr>
      <w:r>
        <w:t>Penemuan / Finding: CoP-2026-002</w:t>
      </w:r>
    </w:p>
    <w:tbl>
      <w:tblPr>
        <w:tblStyle w:val="TableGrid"/>
        <w:tblW w:type="auto" w:w="0"/>
        <w:jc w:val="center"/>
        <w:tblLook w:firstColumn="1" w:firstRow="1" w:lastColumn="0" w:lastRow="0" w:noHBand="0" w:noVBand="1" w:val="04A0"/>
      </w:tblPr>
      <w:tblGrid>
        <w:gridCol w:w="4320"/>
        <w:gridCol w:w="4320"/>
      </w:tblGrid>
      <w:tr>
        <w:tc>
          <w:tcPr>
            <w:tcW w:type="dxa" w:w="2835"/>
            <w:shd w:fill="D6E4F0" w:val="clear"/>
          </w:tcPr>
          <w:p>
            <w:r>
              <w:rPr>
                <w:b/>
                <w:sz w:val="18"/>
              </w:rPr>
              <w:t>ID Penemuan / Finding ID</w:t>
            </w:r>
          </w:p>
        </w:tc>
        <w:tc>
          <w:tcPr>
            <w:tcW w:type="dxa" w:w="6236"/>
          </w:tcPr>
          <w:p>
            <w:r>
              <w:rPr>
                <w:sz w:val="18"/>
              </w:rPr>
              <w:t>CoP-2026-002</w:t>
            </w:r>
          </w:p>
        </w:tc>
      </w:tr>
      <w:tr>
        <w:tc>
          <w:tcPr>
            <w:tcW w:type="dxa" w:w="2835"/>
            <w:shd w:fill="D6E4F0" w:val="clear"/>
          </w:tcPr>
          <w:p>
            <w:r>
              <w:rPr>
                <w:b/>
                <w:sz w:val="18"/>
              </w:rPr>
              <w:t>Tajuk / Title</w:t>
            </w:r>
          </w:p>
        </w:tc>
        <w:tc>
          <w:tcPr>
            <w:tcW w:type="dxa" w:w="6236"/>
          </w:tcPr>
          <w:p>
            <w:r>
              <w:rPr>
                <w:sz w:val="18"/>
              </w:rPr>
              <w:t>Laporan Penilaian Risiko Tidak Dihantar Dalam Tempoh / Risk Assessment Report Not Submitted Within Prescribed Period</w:t>
            </w:r>
          </w:p>
        </w:tc>
      </w:tr>
      <w:tr>
        <w:tc>
          <w:tcPr>
            <w:tcW w:type="dxa" w:w="2835"/>
            <w:shd w:fill="D6E4F0" w:val="clear"/>
          </w:tcPr>
          <w:p>
            <w:r>
              <w:rPr>
                <w:b/>
                <w:sz w:val="18"/>
              </w:rPr>
              <w:t>Rujukan CoP / CoP Reference</w:t>
            </w:r>
          </w:p>
        </w:tc>
        <w:tc>
          <w:tcPr>
            <w:tcW w:type="dxa" w:w="6236"/>
          </w:tcPr>
          <w:p>
            <w:r>
              <w:rPr>
                <w:sz w:val="18"/>
              </w:rPr>
              <w:t>CoP 9.0 — Risk Management</w:t>
            </w:r>
          </w:p>
        </w:tc>
      </w:tr>
      <w:tr>
        <w:tc>
          <w:tcPr>
            <w:tcW w:type="dxa" w:w="2835"/>
            <w:shd w:fill="D6E4F0" w:val="clear"/>
          </w:tcPr>
          <w:p>
            <w:r>
              <w:rPr>
                <w:b/>
                <w:sz w:val="18"/>
              </w:rPr>
              <w:t>Rujukan Klausa / Clause Reference</w:t>
            </w:r>
          </w:p>
        </w:tc>
        <w:tc>
          <w:tcPr>
            <w:tcW w:type="dxa" w:w="6236"/>
          </w:tcPr>
          <w:p>
            <w:r>
              <w:rPr>
                <w:sz w:val="18"/>
              </w:rPr>
              <w:t>CoP 9.1.4.2 — "The report shall be submitted to the Chief Executive of NACSA via e-mail of auditpematuhan@nacsa.gov.my, within 30 days upon the completion of the risk assessment."</w:t>
            </w:r>
          </w:p>
        </w:tc>
      </w:tr>
      <w:tr>
        <w:tc>
          <w:tcPr>
            <w:tcW w:type="dxa" w:w="2835"/>
            <w:shd w:fill="D6E4F0" w:val="clear"/>
          </w:tcPr>
          <w:p>
            <w:r>
              <w:rPr>
                <w:b/>
                <w:sz w:val="18"/>
              </w:rPr>
              <w:t>Sistem (jika berkenaan) / System</w:t>
            </w:r>
          </w:p>
        </w:tc>
        <w:tc>
          <w:tcPr>
            <w:tcW w:type="dxa" w:w="6236"/>
          </w:tcPr>
          <w:p>
            <w:r>
              <w:rPr>
                <w:sz w:val="18"/>
              </w:rPr>
              <w:t>N/A (org-level control)</w:t>
            </w:r>
          </w:p>
        </w:tc>
      </w:tr>
      <w:tr>
        <w:tc>
          <w:tcPr>
            <w:tcW w:type="dxa" w:w="2835"/>
            <w:shd w:fill="D6E4F0" w:val="clear"/>
          </w:tcPr>
          <w:p>
            <w:r>
              <w:rPr>
                <w:b/>
                <w:sz w:val="18"/>
              </w:rPr>
              <w:t>Keterukan / Severity</w:t>
            </w:r>
          </w:p>
        </w:tc>
        <w:tc>
          <w:tcPr>
            <w:tcW w:type="dxa" w:w="6236"/>
          </w:tcPr>
          <w:p>
            <w:r>
              <w:rPr>
                <w:sz w:val="18"/>
              </w:rPr>
              <w:t>Tinggi (High)</w:t>
            </w:r>
          </w:p>
        </w:tc>
      </w:tr>
      <w:tr>
        <w:tc>
          <w:tcPr>
            <w:tcW w:type="dxa" w:w="2835"/>
            <w:shd w:fill="D6E4F0" w:val="clear"/>
          </w:tcPr>
          <w:p>
            <w:r>
              <w:rPr>
                <w:b/>
                <w:sz w:val="18"/>
              </w:rPr>
              <w:t>Keadaan Sebenar / Condition</w:t>
            </w:r>
          </w:p>
        </w:tc>
        <w:tc>
          <w:tcPr>
            <w:tcW w:type="dxa" w:w="6236"/>
          </w:tcPr>
          <w:p>
            <w:r>
              <w:rPr>
                <w:sz w:val="18"/>
              </w:rPr>
              <w:t>STS completed its cyber security risk assessment on 15/10/2025. The risk assessment report was finalised internally on 28/10/2025. However, the report had not been submitted to the NACSA CE as at the audit date (14/02/2026) — 112 days after completion and 82 days past the 30-day submission deadline. The CISO confirmed (interview, 23/01/2026) that the report was pending CEO sign-off. Review of the risk assessment report (Doc Ref: STS-RA-2025-001) confirmed it was substantively complete and aligned with CE Directive 05 requirements.</w:t>
            </w:r>
          </w:p>
        </w:tc>
      </w:tr>
      <w:tr>
        <w:tc>
          <w:tcPr>
            <w:tcW w:type="dxa" w:w="2835"/>
            <w:shd w:fill="D6E4F0" w:val="clear"/>
          </w:tcPr>
          <w:p>
            <w:r>
              <w:rPr>
                <w:b/>
                <w:sz w:val="18"/>
              </w:rPr>
              <w:t>Kriteria / Criteria</w:t>
            </w:r>
          </w:p>
        </w:tc>
        <w:tc>
          <w:tcPr>
            <w:tcW w:type="dxa" w:w="6236"/>
          </w:tcPr>
          <w:p>
            <w:r>
              <w:rPr>
                <w:sz w:val="18"/>
              </w:rPr>
              <w:t>CoP 9.1.4.2 requires submission to NACSA CE within 30 days of completion. CE Directive 05 para 8.5 prescribes submission via auditpematuhan@nacsa.gov.my. s21 of Act 854 mandates the risk assessment obligation.</w:t>
            </w:r>
          </w:p>
        </w:tc>
      </w:tr>
      <w:tr>
        <w:tc>
          <w:tcPr>
            <w:tcW w:type="dxa" w:w="2835"/>
            <w:shd w:fill="D6E4F0" w:val="clear"/>
          </w:tcPr>
          <w:p>
            <w:r>
              <w:rPr>
                <w:b/>
                <w:sz w:val="18"/>
              </w:rPr>
              <w:t>Punca Masalah / Cause</w:t>
            </w:r>
          </w:p>
        </w:tc>
        <w:tc>
          <w:tcPr>
            <w:tcW w:type="dxa" w:w="6236"/>
          </w:tcPr>
          <w:p>
            <w:r>
              <w:rPr>
                <w:sz w:val="18"/>
              </w:rPr>
              <w:t>Internal approval process requires CEO sign-off on all NACSA submissions. The CEO was occupied with the smart grid platform launch (Q4 2025) and did not prioritise the risk assessment report for sign-off. No escalation mechanism existed for time-sensitive regulatory submissions.</w:t>
            </w:r>
          </w:p>
        </w:tc>
      </w:tr>
      <w:tr>
        <w:tc>
          <w:tcPr>
            <w:tcW w:type="dxa" w:w="2835"/>
            <w:shd w:fill="D6E4F0" w:val="clear"/>
          </w:tcPr>
          <w:p>
            <w:r>
              <w:rPr>
                <w:b/>
                <w:sz w:val="18"/>
              </w:rPr>
              <w:t>Impak / Consequence</w:t>
            </w:r>
          </w:p>
        </w:tc>
        <w:tc>
          <w:tcPr>
            <w:tcW w:type="dxa" w:w="6236"/>
          </w:tcPr>
          <w:p>
            <w:r>
              <w:rPr>
                <w:sz w:val="18"/>
              </w:rPr>
              <w:t>Late submission of the risk assessment report constitutes non-compliance with s21 of Act 854, punishable by a fine not exceeding RM200,000 or imprisonment not exceeding 3 years or both. Additionally, without a submitted risk assessment, NACSA cannot assess the entity's risk posture, potentially delaying sector-level risk intelligence. s52 director liability applies.</w:t>
            </w:r>
          </w:p>
        </w:tc>
      </w:tr>
      <w:tr>
        <w:tc>
          <w:tcPr>
            <w:tcW w:type="dxa" w:w="2835"/>
            <w:shd w:fill="D6E4F0" w:val="clear"/>
          </w:tcPr>
          <w:p>
            <w:r>
              <w:rPr>
                <w:b/>
                <w:sz w:val="18"/>
              </w:rPr>
              <w:t>Peluang Penambahbaikan / Corrective Action</w:t>
            </w:r>
          </w:p>
        </w:tc>
        <w:tc>
          <w:tcPr>
            <w:tcW w:type="dxa" w:w="6236"/>
          </w:tcPr>
          <w:p>
            <w:r>
              <w:rPr>
                <w:sz w:val="18"/>
              </w:rPr>
              <w:t>1. Obtain CEO sign-off and submit the risk assessment report to auditpematuhan@nacsa.gov.my immediately (within 7 days).</w:t>
              <w:br/>
              <w:t>2. Establish a regulatory submission tracker with automated deadline alerts.</w:t>
              <w:br/>
              <w:t>3. Delegate submission authority to the CISO for time-sensitive regulatory filings.</w:t>
              <w:br/>
              <w:t>4. Implement Board reporting on regulatory compliance timelines.</w:t>
            </w:r>
          </w:p>
        </w:tc>
      </w:tr>
      <w:tr>
        <w:tc>
          <w:tcPr>
            <w:tcW w:type="dxa" w:w="2835"/>
            <w:shd w:fill="D6E4F0" w:val="clear"/>
          </w:tcPr>
          <w:p>
            <w:r>
              <w:rPr>
                <w:b/>
                <w:sz w:val="18"/>
              </w:rPr>
              <w:t>Klasifikasi Undang-Undang / Legal Classification</w:t>
            </w:r>
          </w:p>
        </w:tc>
        <w:tc>
          <w:tcPr>
            <w:tcW w:type="dxa" w:w="6236"/>
          </w:tcPr>
          <w:p>
            <w:r>
              <w:rPr>
                <w:sz w:val="18"/>
              </w:rPr>
              <w:t>Statutory (s21) + CE Directive 05 + CoP 9.1.4</w:t>
            </w:r>
          </w:p>
        </w:tc>
      </w:tr>
      <w:tr>
        <w:tc>
          <w:tcPr>
            <w:tcW w:type="dxa" w:w="2835"/>
            <w:shd w:fill="D6E4F0" w:val="clear"/>
          </w:tcPr>
          <w:p>
            <w:r>
              <w:rPr>
                <w:b/>
                <w:sz w:val="18"/>
              </w:rPr>
              <w:t>Boleh Dikompaun? / Compoundable?</w:t>
            </w:r>
          </w:p>
        </w:tc>
        <w:tc>
          <w:tcPr>
            <w:tcW w:type="dxa" w:w="6236"/>
          </w:tcPr>
          <w:p>
            <w:r>
              <w:rPr>
                <w:sz w:val="18"/>
              </w:rPr>
              <w:t>s21: Yes — compoundable at 50% of maximum fine (RM100,000).</w:t>
            </w:r>
          </w:p>
        </w:tc>
      </w:tr>
    </w:tbl>
    <w:p/>
    <w:p>
      <w:pPr>
        <w:pStyle w:val="Heading2"/>
      </w:pPr>
      <w:r>
        <w:t>6.3 CoP 14.0 — System and Network Security</w:t>
      </w:r>
    </w:p>
    <w:p>
      <w:r>
        <w:t>Domain compliance: 18 P / 4 SP / 2 TP / 0 TB out of 24 Tier 1 requirements</w:t>
      </w:r>
    </w:p>
    <w:p>
      <w:pPr>
        <w:pStyle w:val="Heading3"/>
      </w:pPr>
      <w:r>
        <w:t>Penemuan / Finding: CoP-2026-003</w:t>
      </w:r>
    </w:p>
    <w:tbl>
      <w:tblPr>
        <w:tblStyle w:val="TableGrid"/>
        <w:tblW w:type="auto" w:w="0"/>
        <w:jc w:val="center"/>
        <w:tblLook w:firstColumn="1" w:firstRow="1" w:lastColumn="0" w:lastRow="0" w:noHBand="0" w:noVBand="1" w:val="04A0"/>
      </w:tblPr>
      <w:tblGrid>
        <w:gridCol w:w="4320"/>
        <w:gridCol w:w="4320"/>
      </w:tblGrid>
      <w:tr>
        <w:tc>
          <w:tcPr>
            <w:tcW w:type="dxa" w:w="2835"/>
            <w:shd w:fill="D6E4F0" w:val="clear"/>
          </w:tcPr>
          <w:p>
            <w:r>
              <w:rPr>
                <w:b/>
                <w:sz w:val="18"/>
              </w:rPr>
              <w:t>ID Penemuan / Finding ID</w:t>
            </w:r>
          </w:p>
        </w:tc>
        <w:tc>
          <w:tcPr>
            <w:tcW w:type="dxa" w:w="6236"/>
          </w:tcPr>
          <w:p>
            <w:r>
              <w:rPr>
                <w:sz w:val="18"/>
              </w:rPr>
              <w:t>CoP-2026-003</w:t>
            </w:r>
          </w:p>
        </w:tc>
      </w:tr>
      <w:tr>
        <w:tc>
          <w:tcPr>
            <w:tcW w:type="dxa" w:w="2835"/>
            <w:shd w:fill="D6E4F0" w:val="clear"/>
          </w:tcPr>
          <w:p>
            <w:r>
              <w:rPr>
                <w:b/>
                <w:sz w:val="18"/>
              </w:rPr>
              <w:t>Tajuk / Title</w:t>
            </w:r>
          </w:p>
        </w:tc>
        <w:tc>
          <w:tcPr>
            <w:tcW w:type="dxa" w:w="6236"/>
          </w:tcPr>
          <w:p>
            <w:r>
              <w:rPr>
                <w:sz w:val="18"/>
              </w:rPr>
              <w:t>Peraturan Firewall SCADA Tidak Disemak Dalam 18 Bulan / SCADA Firewall Rules Not Reviewed in 18 Months</w:t>
            </w:r>
          </w:p>
        </w:tc>
      </w:tr>
      <w:tr>
        <w:tc>
          <w:tcPr>
            <w:tcW w:type="dxa" w:w="2835"/>
            <w:shd w:fill="D6E4F0" w:val="clear"/>
          </w:tcPr>
          <w:p>
            <w:r>
              <w:rPr>
                <w:b/>
                <w:sz w:val="18"/>
              </w:rPr>
              <w:t>Rujukan CoP / CoP Reference</w:t>
            </w:r>
          </w:p>
        </w:tc>
        <w:tc>
          <w:tcPr>
            <w:tcW w:type="dxa" w:w="6236"/>
          </w:tcPr>
          <w:p>
            <w:r>
              <w:rPr>
                <w:sz w:val="18"/>
              </w:rPr>
              <w:t>CoP 14.0 — System and Network Security</w:t>
            </w:r>
          </w:p>
        </w:tc>
      </w:tr>
      <w:tr>
        <w:tc>
          <w:tcPr>
            <w:tcW w:type="dxa" w:w="2835"/>
            <w:shd w:fill="D6E4F0" w:val="clear"/>
          </w:tcPr>
          <w:p>
            <w:r>
              <w:rPr>
                <w:b/>
                <w:sz w:val="18"/>
              </w:rPr>
              <w:t>Rujukan Klausa / Clause Reference</w:t>
            </w:r>
          </w:p>
        </w:tc>
        <w:tc>
          <w:tcPr>
            <w:tcW w:type="dxa" w:w="6236"/>
          </w:tcPr>
          <w:p>
            <w:r>
              <w:rPr>
                <w:sz w:val="18"/>
              </w:rPr>
              <w:t>CoP 14.3.4.1 — "Firewall rules, network threat detection capability, and NAC solutions shall be reviewed annually to ensure their continued effectiveness in detecting and preventing unauthorised access and cyber security threats."</w:t>
            </w:r>
          </w:p>
        </w:tc>
      </w:tr>
      <w:tr>
        <w:tc>
          <w:tcPr>
            <w:tcW w:type="dxa" w:w="2835"/>
            <w:shd w:fill="D6E4F0" w:val="clear"/>
          </w:tcPr>
          <w:p>
            <w:r>
              <w:rPr>
                <w:b/>
                <w:sz w:val="18"/>
              </w:rPr>
              <w:t>Sistem (jika berkenaan) / System</w:t>
            </w:r>
          </w:p>
        </w:tc>
        <w:tc>
          <w:tcPr>
            <w:tcW w:type="dxa" w:w="6236"/>
          </w:tcPr>
          <w:p>
            <w:r>
              <w:rPr>
                <w:sz w:val="18"/>
              </w:rPr>
              <w:t>NCII-SYS-001: SCADA Control System</w:t>
            </w:r>
          </w:p>
        </w:tc>
      </w:tr>
      <w:tr>
        <w:tc>
          <w:tcPr>
            <w:tcW w:type="dxa" w:w="2835"/>
            <w:shd w:fill="D6E4F0" w:val="clear"/>
          </w:tcPr>
          <w:p>
            <w:r>
              <w:rPr>
                <w:b/>
                <w:sz w:val="18"/>
              </w:rPr>
              <w:t>Keterukan / Severity</w:t>
            </w:r>
          </w:p>
        </w:tc>
        <w:tc>
          <w:tcPr>
            <w:tcW w:type="dxa" w:w="6236"/>
          </w:tcPr>
          <w:p>
            <w:r>
              <w:rPr>
                <w:sz w:val="18"/>
              </w:rPr>
              <w:t>Tinggi (High)</w:t>
            </w:r>
          </w:p>
        </w:tc>
      </w:tr>
      <w:tr>
        <w:tc>
          <w:tcPr>
            <w:tcW w:type="dxa" w:w="2835"/>
            <w:shd w:fill="D6E4F0" w:val="clear"/>
          </w:tcPr>
          <w:p>
            <w:r>
              <w:rPr>
                <w:b/>
                <w:sz w:val="18"/>
              </w:rPr>
              <w:t>Keadaan Sebenar / Condition</w:t>
            </w:r>
          </w:p>
        </w:tc>
        <w:tc>
          <w:tcPr>
            <w:tcW w:type="dxa" w:w="6236"/>
          </w:tcPr>
          <w:p>
            <w:r>
              <w:rPr>
                <w:sz w:val="18"/>
              </w:rPr>
              <w:t>Review of the SCADA network firewall (Palo Alto PA-5260, FW-SCADA-01) configuration audit trail confirmed the last firewall rule review was conducted on 12/08/2024 — 18 months before the audit date. The firewall currently has 247 active rules, including 23 rules marked as 'temporary' dating from 2023 that have not been reviewed or removed. The entity's own Network Security Policy (NSP-2024-003) requires quarterly firewall rule reviews for SCADA segments. The ICS network segment contains 142 SCADA endpoints controlling power distribution to the Northern Region grid.</w:t>
            </w:r>
          </w:p>
        </w:tc>
      </w:tr>
      <w:tr>
        <w:tc>
          <w:tcPr>
            <w:tcW w:type="dxa" w:w="2835"/>
            <w:shd w:fill="D6E4F0" w:val="clear"/>
          </w:tcPr>
          <w:p>
            <w:r>
              <w:rPr>
                <w:b/>
                <w:sz w:val="18"/>
              </w:rPr>
              <w:t>Kriteria / Criteria</w:t>
            </w:r>
          </w:p>
        </w:tc>
        <w:tc>
          <w:tcPr>
            <w:tcW w:type="dxa" w:w="6236"/>
          </w:tcPr>
          <w:p>
            <w:r>
              <w:rPr>
                <w:sz w:val="18"/>
              </w:rPr>
              <w:t>CoP 14.3.4.1 mandates annual review of firewall rules. Entity's own NSP-2024-003 requires quarterly review for SCADA segments (more stringent than CoP, but audited against CoP minimum). s24 of Act 854 requires compliance with applicable standards.</w:t>
            </w:r>
          </w:p>
        </w:tc>
      </w:tr>
      <w:tr>
        <w:tc>
          <w:tcPr>
            <w:tcW w:type="dxa" w:w="2835"/>
            <w:shd w:fill="D6E4F0" w:val="clear"/>
          </w:tcPr>
          <w:p>
            <w:r>
              <w:rPr>
                <w:b/>
                <w:sz w:val="18"/>
              </w:rPr>
              <w:t>Punca Masalah / Cause</w:t>
            </w:r>
          </w:p>
        </w:tc>
        <w:tc>
          <w:tcPr>
            <w:tcW w:type="dxa" w:w="6236"/>
          </w:tcPr>
          <w:p>
            <w:r>
              <w:rPr>
                <w:sz w:val="18"/>
              </w:rPr>
              <w:t>The network security team (2 staff) was reassigned to the smart grid platform deployment project in Q1 2025. No replacement resource was assigned to maintain the SCADA firewall review schedule. The team lead departed in June 2025 and the position remained vacant for 4 months.</w:t>
            </w:r>
          </w:p>
        </w:tc>
      </w:tr>
      <w:tr>
        <w:tc>
          <w:tcPr>
            <w:tcW w:type="dxa" w:w="2835"/>
            <w:shd w:fill="D6E4F0" w:val="clear"/>
          </w:tcPr>
          <w:p>
            <w:r>
              <w:rPr>
                <w:b/>
                <w:sz w:val="18"/>
              </w:rPr>
              <w:t>Impak / Consequence</w:t>
            </w:r>
          </w:p>
        </w:tc>
        <w:tc>
          <w:tcPr>
            <w:tcW w:type="dxa" w:w="6236"/>
          </w:tcPr>
          <w:p>
            <w:r>
              <w:rPr>
                <w:sz w:val="18"/>
              </w:rPr>
              <w:t>Stale firewall rules on the SCADA segment create an elevated risk of unauthorised access to industrial control systems. The 23 unreviewed 'temporary' rules may permit traffic paths that are no longer required, expanding the attack surface. A threat actor exploiting a stale rule could gain access to SCADA endpoints controlling power distribution, potentially causing load-shedding or equipment damage affecting ~180,000 consumers.</w:t>
            </w:r>
          </w:p>
        </w:tc>
      </w:tr>
      <w:tr>
        <w:tc>
          <w:tcPr>
            <w:tcW w:type="dxa" w:w="2835"/>
            <w:shd w:fill="D6E4F0" w:val="clear"/>
          </w:tcPr>
          <w:p>
            <w:r>
              <w:rPr>
                <w:b/>
                <w:sz w:val="18"/>
              </w:rPr>
              <w:t>Peluang Penambahbaikan / Corrective Action</w:t>
            </w:r>
          </w:p>
        </w:tc>
        <w:tc>
          <w:tcPr>
            <w:tcW w:type="dxa" w:w="6236"/>
          </w:tcPr>
          <w:p>
            <w:r>
              <w:rPr>
                <w:sz w:val="18"/>
              </w:rPr>
              <w:t>1. Conduct an immediate firewall rule review for FW-SCADA-01 (within 30 days).</w:t>
              <w:br/>
              <w:t>2. Remove or justify all 23 'temporary' rules from 2023.</w:t>
              <w:br/>
              <w:t>3. Re-establish quarterly review schedule per entity's own NSP-2024-003.</w:t>
              <w:br/>
              <w:t>4. Assign a dedicated network security resource for SCADA/OT environments.</w:t>
              <w:br/>
              <w:t>5. Implement firewall rule lifecycle management with automatic expiry for temporary rules.</w:t>
            </w:r>
          </w:p>
        </w:tc>
      </w:tr>
      <w:tr>
        <w:tc>
          <w:tcPr>
            <w:tcW w:type="dxa" w:w="2835"/>
            <w:shd w:fill="D6E4F0" w:val="clear"/>
          </w:tcPr>
          <w:p>
            <w:r>
              <w:rPr>
                <w:b/>
                <w:sz w:val="18"/>
              </w:rPr>
              <w:t>Klasifikasi Undang-Undang / Legal Classification</w:t>
            </w:r>
          </w:p>
        </w:tc>
        <w:tc>
          <w:tcPr>
            <w:tcW w:type="dxa" w:w="6236"/>
          </w:tcPr>
          <w:p>
            <w:r>
              <w:rPr>
                <w:sz w:val="18"/>
              </w:rPr>
              <w:t>CoP 14.3.4</w:t>
            </w:r>
          </w:p>
        </w:tc>
      </w:tr>
      <w:tr>
        <w:tc>
          <w:tcPr>
            <w:tcW w:type="dxa" w:w="2835"/>
            <w:shd w:fill="D6E4F0" w:val="clear"/>
          </w:tcPr>
          <w:p>
            <w:r>
              <w:rPr>
                <w:b/>
                <w:sz w:val="18"/>
              </w:rPr>
              <w:t>Boleh Dikompaun? / Compoundable?</w:t>
            </w:r>
          </w:p>
        </w:tc>
        <w:tc>
          <w:tcPr>
            <w:tcW w:type="dxa" w:w="6236"/>
          </w:tcPr>
          <w:p>
            <w:r>
              <w:rPr>
                <w:sz w:val="18"/>
              </w:rPr>
              <w:t>N/A — CoP non-compliance, not directly a statutory offence.</w:t>
            </w:r>
          </w:p>
        </w:tc>
      </w:tr>
    </w:tbl>
    <w:p/>
    <w:p>
      <w:pPr>
        <w:pStyle w:val="Heading2"/>
      </w:pPr>
      <w:r>
        <w:t>6.4 CoP 16.0 — Technical Vulnerability</w:t>
      </w:r>
    </w:p>
    <w:p>
      <w:r>
        <w:t>Domain compliance: 7 P / 2 SP / 1 TP / 0 TB out of 10 Tier 1 requirements</w:t>
      </w:r>
    </w:p>
    <w:p>
      <w:pPr>
        <w:pStyle w:val="Heading3"/>
      </w:pPr>
      <w:r>
        <w:t>Penemuan / Finding: CoP-2026-004</w:t>
      </w:r>
    </w:p>
    <w:tbl>
      <w:tblPr>
        <w:tblStyle w:val="TableGrid"/>
        <w:tblW w:type="auto" w:w="0"/>
        <w:jc w:val="center"/>
        <w:tblLook w:firstColumn="1" w:firstRow="1" w:lastColumn="0" w:lastRow="0" w:noHBand="0" w:noVBand="1" w:val="04A0"/>
      </w:tblPr>
      <w:tblGrid>
        <w:gridCol w:w="4320"/>
        <w:gridCol w:w="4320"/>
      </w:tblGrid>
      <w:tr>
        <w:tc>
          <w:tcPr>
            <w:tcW w:type="dxa" w:w="2835"/>
            <w:shd w:fill="D6E4F0" w:val="clear"/>
          </w:tcPr>
          <w:p>
            <w:r>
              <w:rPr>
                <w:b/>
                <w:sz w:val="18"/>
              </w:rPr>
              <w:t>ID Penemuan / Finding ID</w:t>
            </w:r>
          </w:p>
        </w:tc>
        <w:tc>
          <w:tcPr>
            <w:tcW w:type="dxa" w:w="6236"/>
          </w:tcPr>
          <w:p>
            <w:r>
              <w:rPr>
                <w:sz w:val="18"/>
              </w:rPr>
              <w:t>CoP-2026-004</w:t>
            </w:r>
          </w:p>
        </w:tc>
      </w:tr>
      <w:tr>
        <w:tc>
          <w:tcPr>
            <w:tcW w:type="dxa" w:w="2835"/>
            <w:shd w:fill="D6E4F0" w:val="clear"/>
          </w:tcPr>
          <w:p>
            <w:r>
              <w:rPr>
                <w:b/>
                <w:sz w:val="18"/>
              </w:rPr>
              <w:t>Tajuk / Title</w:t>
            </w:r>
          </w:p>
        </w:tc>
        <w:tc>
          <w:tcPr>
            <w:tcW w:type="dxa" w:w="6236"/>
          </w:tcPr>
          <w:p>
            <w:r>
              <w:rPr>
                <w:sz w:val="18"/>
              </w:rPr>
              <w:t>Pengimbasan Kerentanan Hanya Meliputi 70% Aset NCII / Vulnerability Scanning Covers Only 70% of NCII Assets</w:t>
            </w:r>
          </w:p>
        </w:tc>
      </w:tr>
      <w:tr>
        <w:tc>
          <w:tcPr>
            <w:tcW w:type="dxa" w:w="2835"/>
            <w:shd w:fill="D6E4F0" w:val="clear"/>
          </w:tcPr>
          <w:p>
            <w:r>
              <w:rPr>
                <w:b/>
                <w:sz w:val="18"/>
              </w:rPr>
              <w:t>Rujukan CoP / CoP Reference</w:t>
            </w:r>
          </w:p>
        </w:tc>
        <w:tc>
          <w:tcPr>
            <w:tcW w:type="dxa" w:w="6236"/>
          </w:tcPr>
          <w:p>
            <w:r>
              <w:rPr>
                <w:sz w:val="18"/>
              </w:rPr>
              <w:t>CoP 16.0 — Technical Vulnerability</w:t>
            </w:r>
          </w:p>
        </w:tc>
      </w:tr>
      <w:tr>
        <w:tc>
          <w:tcPr>
            <w:tcW w:type="dxa" w:w="2835"/>
            <w:shd w:fill="D6E4F0" w:val="clear"/>
          </w:tcPr>
          <w:p>
            <w:r>
              <w:rPr>
                <w:b/>
                <w:sz w:val="18"/>
              </w:rPr>
              <w:t>Rujukan Klausa / Clause Reference</w:t>
            </w:r>
          </w:p>
        </w:tc>
        <w:tc>
          <w:tcPr>
            <w:tcW w:type="dxa" w:w="6236"/>
          </w:tcPr>
          <w:p>
            <w:r>
              <w:rPr>
                <w:sz w:val="18"/>
              </w:rPr>
              <w:t>CoP 16.2.1.1 — "The NCII entity shall define a Vulnerability Assessment Plan (VAP) that outline the following: The scope of the assessment, covering all NCII assets and associated systems."</w:t>
            </w:r>
          </w:p>
        </w:tc>
      </w:tr>
      <w:tr>
        <w:tc>
          <w:tcPr>
            <w:tcW w:type="dxa" w:w="2835"/>
            <w:shd w:fill="D6E4F0" w:val="clear"/>
          </w:tcPr>
          <w:p>
            <w:r>
              <w:rPr>
                <w:b/>
                <w:sz w:val="18"/>
              </w:rPr>
              <w:t>Sistem (jika berkenaan) / System</w:t>
            </w:r>
          </w:p>
        </w:tc>
        <w:tc>
          <w:tcPr>
            <w:tcW w:type="dxa" w:w="6236"/>
          </w:tcPr>
          <w:p>
            <w:r>
              <w:rPr>
                <w:sz w:val="18"/>
              </w:rPr>
              <w:t>NCII-SYS-001 (SCADA), NCII-SYS-003 (Smart Grid)</w:t>
            </w:r>
          </w:p>
        </w:tc>
      </w:tr>
      <w:tr>
        <w:tc>
          <w:tcPr>
            <w:tcW w:type="dxa" w:w="2835"/>
            <w:shd w:fill="D6E4F0" w:val="clear"/>
          </w:tcPr>
          <w:p>
            <w:r>
              <w:rPr>
                <w:b/>
                <w:sz w:val="18"/>
              </w:rPr>
              <w:t>Keterukan / Severity</w:t>
            </w:r>
          </w:p>
        </w:tc>
        <w:tc>
          <w:tcPr>
            <w:tcW w:type="dxa" w:w="6236"/>
          </w:tcPr>
          <w:p>
            <w:r>
              <w:rPr>
                <w:sz w:val="18"/>
              </w:rPr>
              <w:t>Sederhana (Medium)</w:t>
            </w:r>
          </w:p>
        </w:tc>
      </w:tr>
      <w:tr>
        <w:tc>
          <w:tcPr>
            <w:tcW w:type="dxa" w:w="2835"/>
            <w:shd w:fill="D6E4F0" w:val="clear"/>
          </w:tcPr>
          <w:p>
            <w:r>
              <w:rPr>
                <w:b/>
                <w:sz w:val="18"/>
              </w:rPr>
              <w:t>Keadaan Sebenar / Condition</w:t>
            </w:r>
          </w:p>
        </w:tc>
        <w:tc>
          <w:tcPr>
            <w:tcW w:type="dxa" w:w="6236"/>
          </w:tcPr>
          <w:p>
            <w:r>
              <w:rPr>
                <w:sz w:val="18"/>
              </w:rPr>
              <w:t>Review of the Vulnerability Assessment Plan (STS-VAP-2025-001) and Qualys scan logs confirmed that vulnerability scanning covers the corporate network (NCII-SYS-004) and the EMS (NCII-SYS-002) comprehensively. However, the SCADA control system (NCII-SYS-001) and smart grid platform (NCII-SYS-003) are only partially scanned — approximately 70% of total NCII assets are in scope. The sector specialist confirmed (interview with Ir. Lee, 05/02/2026) that 43 SCADA endpoints and 18 smart grid controllers were excluded from scanning due to vendor restrictions on active scanning of OT devices.</w:t>
            </w:r>
          </w:p>
        </w:tc>
      </w:tr>
      <w:tr>
        <w:tc>
          <w:tcPr>
            <w:tcW w:type="dxa" w:w="2835"/>
            <w:shd w:fill="D6E4F0" w:val="clear"/>
          </w:tcPr>
          <w:p>
            <w:r>
              <w:rPr>
                <w:b/>
                <w:sz w:val="18"/>
              </w:rPr>
              <w:t>Kriteria / Criteria</w:t>
            </w:r>
          </w:p>
        </w:tc>
        <w:tc>
          <w:tcPr>
            <w:tcW w:type="dxa" w:w="6236"/>
          </w:tcPr>
          <w:p>
            <w:r>
              <w:rPr>
                <w:sz w:val="18"/>
              </w:rPr>
              <w:t>CoP 16.2.1.1 requires the VAP to cover 'all NCII assets and associated systems.' The current plan excludes 30% of assets.</w:t>
            </w:r>
          </w:p>
        </w:tc>
      </w:tr>
      <w:tr>
        <w:tc>
          <w:tcPr>
            <w:tcW w:type="dxa" w:w="2835"/>
            <w:shd w:fill="D6E4F0" w:val="clear"/>
          </w:tcPr>
          <w:p>
            <w:r>
              <w:rPr>
                <w:b/>
                <w:sz w:val="18"/>
              </w:rPr>
              <w:t>Punca Masalah / Cause</w:t>
            </w:r>
          </w:p>
        </w:tc>
        <w:tc>
          <w:tcPr>
            <w:tcW w:type="dxa" w:w="6236"/>
          </w:tcPr>
          <w:p>
            <w:r>
              <w:rPr>
                <w:sz w:val="18"/>
              </w:rPr>
              <w:t>OT device vendors (Siemens, ABB) prohibit active vulnerability scanning on certain legacy PLCs and RTUs, citing risk of device malfunction. The entity accepted this restriction without implementing compensating controls (e.g., passive network scanning, firmware version tracking, or vendor patch advisory monitoring).</w:t>
            </w:r>
          </w:p>
        </w:tc>
      </w:tr>
      <w:tr>
        <w:tc>
          <w:tcPr>
            <w:tcW w:type="dxa" w:w="2835"/>
            <w:shd w:fill="D6E4F0" w:val="clear"/>
          </w:tcPr>
          <w:p>
            <w:r>
              <w:rPr>
                <w:b/>
                <w:sz w:val="18"/>
              </w:rPr>
              <w:t>Impak / Consequence</w:t>
            </w:r>
          </w:p>
        </w:tc>
        <w:tc>
          <w:tcPr>
            <w:tcW w:type="dxa" w:w="6236"/>
          </w:tcPr>
          <w:p>
            <w:r>
              <w:rPr>
                <w:sz w:val="18"/>
              </w:rPr>
              <w:t>Unscanned OT assets may harbour known vulnerabilities that remain undetected and unpatched. For SCADA/ICS environments, these vulnerabilities could be exploited by threat actors targeting energy infrastructure (e.g., Industroyer-class malware). The risk is partially mitigated by network segmentation between IT and OT segments.</w:t>
            </w:r>
          </w:p>
        </w:tc>
      </w:tr>
      <w:tr>
        <w:tc>
          <w:tcPr>
            <w:tcW w:type="dxa" w:w="2835"/>
            <w:shd w:fill="D6E4F0" w:val="clear"/>
          </w:tcPr>
          <w:p>
            <w:r>
              <w:rPr>
                <w:b/>
                <w:sz w:val="18"/>
              </w:rPr>
              <w:t>Peluang Penambahbaikan / Corrective Action</w:t>
            </w:r>
          </w:p>
        </w:tc>
        <w:tc>
          <w:tcPr>
            <w:tcW w:type="dxa" w:w="6236"/>
          </w:tcPr>
          <w:p>
            <w:r>
              <w:rPr>
                <w:sz w:val="18"/>
              </w:rPr>
              <w:t>1. Implement passive vulnerability scanning for OT assets that cannot tolerate active scanning.</w:t>
              <w:br/>
              <w:t>2. Establish firmware version tracking and vendor security advisory monitoring for all 43 SCADA endpoints and 18 smart grid controllers.</w:t>
              <w:br/>
              <w:t>3. Update the VAP to document compensating controls for excluded assets.</w:t>
              <w:br/>
              <w:t>4. Engage OT security vendor to conduct safe OT vulnerability assessment.</w:t>
            </w:r>
          </w:p>
        </w:tc>
      </w:tr>
      <w:tr>
        <w:tc>
          <w:tcPr>
            <w:tcW w:type="dxa" w:w="2835"/>
            <w:shd w:fill="D6E4F0" w:val="clear"/>
          </w:tcPr>
          <w:p>
            <w:r>
              <w:rPr>
                <w:b/>
                <w:sz w:val="18"/>
              </w:rPr>
              <w:t>Klasifikasi Undang-Undang / Legal Classification</w:t>
            </w:r>
          </w:p>
        </w:tc>
        <w:tc>
          <w:tcPr>
            <w:tcW w:type="dxa" w:w="6236"/>
          </w:tcPr>
          <w:p>
            <w:r>
              <w:rPr>
                <w:sz w:val="18"/>
              </w:rPr>
              <w:t>CoP 16.2.1</w:t>
            </w:r>
          </w:p>
        </w:tc>
      </w:tr>
      <w:tr>
        <w:tc>
          <w:tcPr>
            <w:tcW w:type="dxa" w:w="2835"/>
            <w:shd w:fill="D6E4F0" w:val="clear"/>
          </w:tcPr>
          <w:p>
            <w:r>
              <w:rPr>
                <w:b/>
                <w:sz w:val="18"/>
              </w:rPr>
              <w:t>Boleh Dikompaun? / Compoundable?</w:t>
            </w:r>
          </w:p>
        </w:tc>
        <w:tc>
          <w:tcPr>
            <w:tcW w:type="dxa" w:w="6236"/>
          </w:tcPr>
          <w:p>
            <w:r>
              <w:rPr>
                <w:sz w:val="18"/>
              </w:rPr>
              <w:t>N/A — CoP non-compliance.</w:t>
            </w:r>
          </w:p>
        </w:tc>
      </w:tr>
    </w:tbl>
    <w:p/>
    <w:p>
      <w:pPr>
        <w:pStyle w:val="Heading2"/>
      </w:pPr>
      <w:r>
        <w:t>6.5 CoP 11.0 — Data Security</w:t>
      </w:r>
    </w:p>
    <w:p>
      <w:r>
        <w:t>Domain compliance: 19 P / 3 SP / 1 TP / 0 TB out of 23 Tier 1 requirements</w:t>
      </w:r>
    </w:p>
    <w:p>
      <w:pPr>
        <w:pStyle w:val="Heading3"/>
      </w:pPr>
      <w:r>
        <w:t>Penemuan / Finding: CoP-2026-005</w:t>
      </w:r>
    </w:p>
    <w:tbl>
      <w:tblPr>
        <w:tblStyle w:val="TableGrid"/>
        <w:tblW w:type="auto" w:w="0"/>
        <w:jc w:val="center"/>
        <w:tblLook w:firstColumn="1" w:firstRow="1" w:lastColumn="0" w:lastRow="0" w:noHBand="0" w:noVBand="1" w:val="04A0"/>
      </w:tblPr>
      <w:tblGrid>
        <w:gridCol w:w="4320"/>
        <w:gridCol w:w="4320"/>
      </w:tblGrid>
      <w:tr>
        <w:tc>
          <w:tcPr>
            <w:tcW w:type="dxa" w:w="2835"/>
            <w:shd w:fill="D6E4F0" w:val="clear"/>
          </w:tcPr>
          <w:p>
            <w:r>
              <w:rPr>
                <w:b/>
                <w:sz w:val="18"/>
              </w:rPr>
              <w:t>ID Penemuan / Finding ID</w:t>
            </w:r>
          </w:p>
        </w:tc>
        <w:tc>
          <w:tcPr>
            <w:tcW w:type="dxa" w:w="6236"/>
          </w:tcPr>
          <w:p>
            <w:r>
              <w:rPr>
                <w:sz w:val="18"/>
              </w:rPr>
              <w:t>CoP-2026-005</w:t>
            </w:r>
          </w:p>
        </w:tc>
      </w:tr>
      <w:tr>
        <w:tc>
          <w:tcPr>
            <w:tcW w:type="dxa" w:w="2835"/>
            <w:shd w:fill="D6E4F0" w:val="clear"/>
          </w:tcPr>
          <w:p>
            <w:r>
              <w:rPr>
                <w:b/>
                <w:sz w:val="18"/>
              </w:rPr>
              <w:t>Tajuk / Title</w:t>
            </w:r>
          </w:p>
        </w:tc>
        <w:tc>
          <w:tcPr>
            <w:tcW w:type="dxa" w:w="6236"/>
          </w:tcPr>
          <w:p>
            <w:r>
              <w:rPr>
                <w:sz w:val="18"/>
              </w:rPr>
              <w:t>Penyelesaian DLP Tidak Dilaksanakan pada Segmen SCADA / DLP Solution Not Deployed on SCADA Segment</w:t>
            </w:r>
          </w:p>
        </w:tc>
      </w:tr>
      <w:tr>
        <w:tc>
          <w:tcPr>
            <w:tcW w:type="dxa" w:w="2835"/>
            <w:shd w:fill="D6E4F0" w:val="clear"/>
          </w:tcPr>
          <w:p>
            <w:r>
              <w:rPr>
                <w:b/>
                <w:sz w:val="18"/>
              </w:rPr>
              <w:t>Rujukan CoP / CoP Reference</w:t>
            </w:r>
          </w:p>
        </w:tc>
        <w:tc>
          <w:tcPr>
            <w:tcW w:type="dxa" w:w="6236"/>
          </w:tcPr>
          <w:p>
            <w:r>
              <w:rPr>
                <w:sz w:val="18"/>
              </w:rPr>
              <w:t>CoP 11.0 — Data Security</w:t>
            </w:r>
          </w:p>
        </w:tc>
      </w:tr>
      <w:tr>
        <w:tc>
          <w:tcPr>
            <w:tcW w:type="dxa" w:w="2835"/>
            <w:shd w:fill="D6E4F0" w:val="clear"/>
          </w:tcPr>
          <w:p>
            <w:r>
              <w:rPr>
                <w:b/>
                <w:sz w:val="18"/>
              </w:rPr>
              <w:t>Rujukan Klausa / Clause Reference</w:t>
            </w:r>
          </w:p>
        </w:tc>
        <w:tc>
          <w:tcPr>
            <w:tcW w:type="dxa" w:w="6236"/>
          </w:tcPr>
          <w:p>
            <w:r>
              <w:rPr>
                <w:sz w:val="18"/>
              </w:rPr>
              <w:t>CoP 11.1.1.1 — "The NCII entity shall implement a DLP solution across its organisation, to safeguard sensitive data from unauthorised access, transmission or leakage."</w:t>
            </w:r>
          </w:p>
        </w:tc>
      </w:tr>
      <w:tr>
        <w:tc>
          <w:tcPr>
            <w:tcW w:type="dxa" w:w="2835"/>
            <w:shd w:fill="D6E4F0" w:val="clear"/>
          </w:tcPr>
          <w:p>
            <w:r>
              <w:rPr>
                <w:b/>
                <w:sz w:val="18"/>
              </w:rPr>
              <w:t>Sistem (jika berkenaan) / System</w:t>
            </w:r>
          </w:p>
        </w:tc>
        <w:tc>
          <w:tcPr>
            <w:tcW w:type="dxa" w:w="6236"/>
          </w:tcPr>
          <w:p>
            <w:r>
              <w:rPr>
                <w:sz w:val="18"/>
              </w:rPr>
              <w:t>NCII-SYS-001: SCADA Control System</w:t>
            </w:r>
          </w:p>
        </w:tc>
      </w:tr>
      <w:tr>
        <w:tc>
          <w:tcPr>
            <w:tcW w:type="dxa" w:w="2835"/>
            <w:shd w:fill="D6E4F0" w:val="clear"/>
          </w:tcPr>
          <w:p>
            <w:r>
              <w:rPr>
                <w:b/>
                <w:sz w:val="18"/>
              </w:rPr>
              <w:t>Keterukan / Severity</w:t>
            </w:r>
          </w:p>
        </w:tc>
        <w:tc>
          <w:tcPr>
            <w:tcW w:type="dxa" w:w="6236"/>
          </w:tcPr>
          <w:p>
            <w:r>
              <w:rPr>
                <w:sz w:val="18"/>
              </w:rPr>
              <w:t>Sederhana (Medium)</w:t>
            </w:r>
          </w:p>
        </w:tc>
      </w:tr>
      <w:tr>
        <w:tc>
          <w:tcPr>
            <w:tcW w:type="dxa" w:w="2835"/>
            <w:shd w:fill="D6E4F0" w:val="clear"/>
          </w:tcPr>
          <w:p>
            <w:r>
              <w:rPr>
                <w:b/>
                <w:sz w:val="18"/>
              </w:rPr>
              <w:t>Keadaan Sebenar / Condition</w:t>
            </w:r>
          </w:p>
        </w:tc>
        <w:tc>
          <w:tcPr>
            <w:tcW w:type="dxa" w:w="6236"/>
          </w:tcPr>
          <w:p>
            <w:r>
              <w:rPr>
                <w:sz w:val="18"/>
              </w:rPr>
              <w:t>STS has deployed Symantec DLP on the corporate network (NCII-SYS-004) and the EMS (NCII-SYS-002) covering email, web, and USB channels. However, the SCADA control system (NCII-SYS-001) and smart grid platform (NCII-SYS-003) do not have DLP coverage. The CISO confirmed (interview, 28/01/2026) that DLP agents were not installed on SCADA HMI workstations due to concerns about performance impact on real-time control operations.</w:t>
            </w:r>
          </w:p>
        </w:tc>
      </w:tr>
      <w:tr>
        <w:tc>
          <w:tcPr>
            <w:tcW w:type="dxa" w:w="2835"/>
            <w:shd w:fill="D6E4F0" w:val="clear"/>
          </w:tcPr>
          <w:p>
            <w:r>
              <w:rPr>
                <w:b/>
                <w:sz w:val="18"/>
              </w:rPr>
              <w:t>Kriteria / Criteria</w:t>
            </w:r>
          </w:p>
        </w:tc>
        <w:tc>
          <w:tcPr>
            <w:tcW w:type="dxa" w:w="6236"/>
          </w:tcPr>
          <w:p>
            <w:r>
              <w:rPr>
                <w:sz w:val="18"/>
              </w:rPr>
              <w:t>CoP 11.1.1.1 requires DLP implementation 'across its organisation.' The current deployment excludes SCADA and smart grid environments.</w:t>
            </w:r>
          </w:p>
        </w:tc>
      </w:tr>
      <w:tr>
        <w:tc>
          <w:tcPr>
            <w:tcW w:type="dxa" w:w="2835"/>
            <w:shd w:fill="D6E4F0" w:val="clear"/>
          </w:tcPr>
          <w:p>
            <w:r>
              <w:rPr>
                <w:b/>
                <w:sz w:val="18"/>
              </w:rPr>
              <w:t>Punca Masalah / Cause</w:t>
            </w:r>
          </w:p>
        </w:tc>
        <w:tc>
          <w:tcPr>
            <w:tcW w:type="dxa" w:w="6236"/>
          </w:tcPr>
          <w:p>
            <w:r>
              <w:rPr>
                <w:sz w:val="18"/>
              </w:rPr>
              <w:t>Technical concern that DLP agents on SCADA HMI workstations could introduce latency in real-time control operations. No evaluation of OT-compatible DLP solutions was conducted.</w:t>
            </w:r>
          </w:p>
        </w:tc>
      </w:tr>
      <w:tr>
        <w:tc>
          <w:tcPr>
            <w:tcW w:type="dxa" w:w="2835"/>
            <w:shd w:fill="D6E4F0" w:val="clear"/>
          </w:tcPr>
          <w:p>
            <w:r>
              <w:rPr>
                <w:b/>
                <w:sz w:val="18"/>
              </w:rPr>
              <w:t>Impak / Consequence</w:t>
            </w:r>
          </w:p>
        </w:tc>
        <w:tc>
          <w:tcPr>
            <w:tcW w:type="dxa" w:w="6236"/>
          </w:tcPr>
          <w:p>
            <w:r>
              <w:rPr>
                <w:sz w:val="18"/>
              </w:rPr>
              <w:t>Sensitive SCADA configuration data, PLC programming files, and grid topology information on HMI workstations are not protected against exfiltration. A malicious insider or compromised workstation could exfiltrate operational data without detection. Risk is partially mitigated by network segmentation and USB port disablement on SCADA HMI stations.</w:t>
            </w:r>
          </w:p>
        </w:tc>
      </w:tr>
      <w:tr>
        <w:tc>
          <w:tcPr>
            <w:tcW w:type="dxa" w:w="2835"/>
            <w:shd w:fill="D6E4F0" w:val="clear"/>
          </w:tcPr>
          <w:p>
            <w:r>
              <w:rPr>
                <w:b/>
                <w:sz w:val="18"/>
              </w:rPr>
              <w:t>Peluang Penambahbaikan / Corrective Action</w:t>
            </w:r>
          </w:p>
        </w:tc>
        <w:tc>
          <w:tcPr>
            <w:tcW w:type="dxa" w:w="6236"/>
          </w:tcPr>
          <w:p>
            <w:r>
              <w:rPr>
                <w:sz w:val="18"/>
              </w:rPr>
              <w:t>1. Evaluate OT-compatible DLP solutions (e.g., network-based DLP that monitors traffic without endpoint agents).</w:t>
              <w:br/>
              <w:t>2. Implement network DLP on the SCADA/IT boundary to monitor data flows.</w:t>
              <w:br/>
              <w:t>3. Document compensating controls for SCADA endpoints where agent-based DLP is not feasible.</w:t>
              <w:br/>
              <w:t>4. Include SCADA DLP coverage in the FY2027 cyber security budget.</w:t>
            </w:r>
          </w:p>
        </w:tc>
      </w:tr>
      <w:tr>
        <w:tc>
          <w:tcPr>
            <w:tcW w:type="dxa" w:w="2835"/>
            <w:shd w:fill="D6E4F0" w:val="clear"/>
          </w:tcPr>
          <w:p>
            <w:r>
              <w:rPr>
                <w:b/>
                <w:sz w:val="18"/>
              </w:rPr>
              <w:t>Klasifikasi Undang-Undang / Legal Classification</w:t>
            </w:r>
          </w:p>
        </w:tc>
        <w:tc>
          <w:tcPr>
            <w:tcW w:type="dxa" w:w="6236"/>
          </w:tcPr>
          <w:p>
            <w:r>
              <w:rPr>
                <w:sz w:val="18"/>
              </w:rPr>
              <w:t>CoP 11.1.1</w:t>
            </w:r>
          </w:p>
        </w:tc>
      </w:tr>
      <w:tr>
        <w:tc>
          <w:tcPr>
            <w:tcW w:type="dxa" w:w="2835"/>
            <w:shd w:fill="D6E4F0" w:val="clear"/>
          </w:tcPr>
          <w:p>
            <w:r>
              <w:rPr>
                <w:b/>
                <w:sz w:val="18"/>
              </w:rPr>
              <w:t>Boleh Dikompaun? / Compoundable?</w:t>
            </w:r>
          </w:p>
        </w:tc>
        <w:tc>
          <w:tcPr>
            <w:tcW w:type="dxa" w:w="6236"/>
          </w:tcPr>
          <w:p>
            <w:r>
              <w:rPr>
                <w:sz w:val="18"/>
              </w:rPr>
              <w:t>N/A — CoP non-compliance.</w:t>
            </w:r>
          </w:p>
        </w:tc>
      </w:tr>
    </w:tbl>
    <w:p/>
    <w:p>
      <w:pPr>
        <w:pStyle w:val="Heading2"/>
      </w:pPr>
      <w:r>
        <w:t>6.6 CoP 13.0 — Physical Security</w:t>
      </w:r>
    </w:p>
    <w:p>
      <w:r>
        <w:t>Domain compliance: 13 P / 1 SP / 1 TP / 0 TB out of 15 Tier 1 requirements</w:t>
      </w:r>
    </w:p>
    <w:p>
      <w:pPr>
        <w:pStyle w:val="Heading3"/>
      </w:pPr>
      <w:r>
        <w:t>Penemuan / Finding: CoP-2026-006</w:t>
      </w:r>
    </w:p>
    <w:tbl>
      <w:tblPr>
        <w:tblStyle w:val="TableGrid"/>
        <w:tblW w:type="auto" w:w="0"/>
        <w:jc w:val="center"/>
        <w:tblLook w:firstColumn="1" w:firstRow="1" w:lastColumn="0" w:lastRow="0" w:noHBand="0" w:noVBand="1" w:val="04A0"/>
      </w:tblPr>
      <w:tblGrid>
        <w:gridCol w:w="4320"/>
        <w:gridCol w:w="4320"/>
      </w:tblGrid>
      <w:tr>
        <w:tc>
          <w:tcPr>
            <w:tcW w:type="dxa" w:w="2835"/>
            <w:shd w:fill="D6E4F0" w:val="clear"/>
          </w:tcPr>
          <w:p>
            <w:r>
              <w:rPr>
                <w:b/>
                <w:sz w:val="18"/>
              </w:rPr>
              <w:t>ID Penemuan / Finding ID</w:t>
            </w:r>
          </w:p>
        </w:tc>
        <w:tc>
          <w:tcPr>
            <w:tcW w:type="dxa" w:w="6236"/>
          </w:tcPr>
          <w:p>
            <w:r>
              <w:rPr>
                <w:sz w:val="18"/>
              </w:rPr>
              <w:t>CoP-2026-006</w:t>
            </w:r>
          </w:p>
        </w:tc>
      </w:tr>
      <w:tr>
        <w:tc>
          <w:tcPr>
            <w:tcW w:type="dxa" w:w="2835"/>
            <w:shd w:fill="D6E4F0" w:val="clear"/>
          </w:tcPr>
          <w:p>
            <w:r>
              <w:rPr>
                <w:b/>
                <w:sz w:val="18"/>
              </w:rPr>
              <w:t>Tajuk / Title</w:t>
            </w:r>
          </w:p>
        </w:tc>
        <w:tc>
          <w:tcPr>
            <w:tcW w:type="dxa" w:w="6236"/>
          </w:tcPr>
          <w:p>
            <w:r>
              <w:rPr>
                <w:sz w:val="18"/>
              </w:rPr>
              <w:t>Prosedur Keselamatan Fizikal Lewat Disemak 3 Bulan / Physical Security Procedure Overdue for Review by 3 Months</w:t>
            </w:r>
          </w:p>
        </w:tc>
      </w:tr>
      <w:tr>
        <w:tc>
          <w:tcPr>
            <w:tcW w:type="dxa" w:w="2835"/>
            <w:shd w:fill="D6E4F0" w:val="clear"/>
          </w:tcPr>
          <w:p>
            <w:r>
              <w:rPr>
                <w:b/>
                <w:sz w:val="18"/>
              </w:rPr>
              <w:t>Rujukan CoP / CoP Reference</w:t>
            </w:r>
          </w:p>
        </w:tc>
        <w:tc>
          <w:tcPr>
            <w:tcW w:type="dxa" w:w="6236"/>
          </w:tcPr>
          <w:p>
            <w:r>
              <w:rPr>
                <w:sz w:val="18"/>
              </w:rPr>
              <w:t>CoP 13.0 — Physical Security</w:t>
            </w:r>
          </w:p>
        </w:tc>
      </w:tr>
      <w:tr>
        <w:tc>
          <w:tcPr>
            <w:tcW w:type="dxa" w:w="2835"/>
            <w:shd w:fill="D6E4F0" w:val="clear"/>
          </w:tcPr>
          <w:p>
            <w:r>
              <w:rPr>
                <w:b/>
                <w:sz w:val="18"/>
              </w:rPr>
              <w:t>Rujukan Klausa / Clause Reference</w:t>
            </w:r>
          </w:p>
        </w:tc>
        <w:tc>
          <w:tcPr>
            <w:tcW w:type="dxa" w:w="6236"/>
          </w:tcPr>
          <w:p>
            <w:r>
              <w:rPr>
                <w:sz w:val="18"/>
              </w:rPr>
              <w:t>CoP 13.1.5.1 — "The physical security procedure shall be reviewed annually as part of routine organisational assessments and post-incident reviews."</w:t>
            </w:r>
          </w:p>
        </w:tc>
      </w:tr>
      <w:tr>
        <w:tc>
          <w:tcPr>
            <w:tcW w:type="dxa" w:w="2835"/>
            <w:shd w:fill="D6E4F0" w:val="clear"/>
          </w:tcPr>
          <w:p>
            <w:r>
              <w:rPr>
                <w:b/>
                <w:sz w:val="18"/>
              </w:rPr>
              <w:t>Sistem (jika berkenaan) / System</w:t>
            </w:r>
          </w:p>
        </w:tc>
        <w:tc>
          <w:tcPr>
            <w:tcW w:type="dxa" w:w="6236"/>
          </w:tcPr>
          <w:p>
            <w:r>
              <w:rPr>
                <w:sz w:val="18"/>
              </w:rPr>
              <w:t>N/A (org-level control)</w:t>
            </w:r>
          </w:p>
        </w:tc>
      </w:tr>
      <w:tr>
        <w:tc>
          <w:tcPr>
            <w:tcW w:type="dxa" w:w="2835"/>
            <w:shd w:fill="D6E4F0" w:val="clear"/>
          </w:tcPr>
          <w:p>
            <w:r>
              <w:rPr>
                <w:b/>
                <w:sz w:val="18"/>
              </w:rPr>
              <w:t>Keterukan / Severity</w:t>
            </w:r>
          </w:p>
        </w:tc>
        <w:tc>
          <w:tcPr>
            <w:tcW w:type="dxa" w:w="6236"/>
          </w:tcPr>
          <w:p>
            <w:r>
              <w:rPr>
                <w:sz w:val="18"/>
              </w:rPr>
              <w:t>Rendah (Low)</w:t>
            </w:r>
          </w:p>
        </w:tc>
      </w:tr>
      <w:tr>
        <w:tc>
          <w:tcPr>
            <w:tcW w:type="dxa" w:w="2835"/>
            <w:shd w:fill="D6E4F0" w:val="clear"/>
          </w:tcPr>
          <w:p>
            <w:r>
              <w:rPr>
                <w:b/>
                <w:sz w:val="18"/>
              </w:rPr>
              <w:t>Keadaan Sebenar / Condition</w:t>
            </w:r>
          </w:p>
        </w:tc>
        <w:tc>
          <w:tcPr>
            <w:tcW w:type="dxa" w:w="6236"/>
          </w:tcPr>
          <w:p>
            <w:r>
              <w:rPr>
                <w:sz w:val="18"/>
              </w:rPr>
              <w:t>The Physical Security Procedure (STS-PSP-2024-001, v2.0) was last reviewed and approved on 10/11/2024. The annual review was due by 10/11/2025 but had not been completed as at the audit date (14/02/2026) — 3 months overdue. The Facilities Manager (Encik Azman, interview 30/01/2026) confirmed the review was scheduled for Q1 2026 and was in progress but not yet completed.</w:t>
            </w:r>
          </w:p>
        </w:tc>
      </w:tr>
      <w:tr>
        <w:tc>
          <w:tcPr>
            <w:tcW w:type="dxa" w:w="2835"/>
            <w:shd w:fill="D6E4F0" w:val="clear"/>
          </w:tcPr>
          <w:p>
            <w:r>
              <w:rPr>
                <w:b/>
                <w:sz w:val="18"/>
              </w:rPr>
              <w:t>Kriteria / Criteria</w:t>
            </w:r>
          </w:p>
        </w:tc>
        <w:tc>
          <w:tcPr>
            <w:tcW w:type="dxa" w:w="6236"/>
          </w:tcPr>
          <w:p>
            <w:r>
              <w:rPr>
                <w:sz w:val="18"/>
              </w:rPr>
              <w:t>CoP 13.1.5.1 requires annual review of the physical security procedure.</w:t>
            </w:r>
          </w:p>
        </w:tc>
      </w:tr>
      <w:tr>
        <w:tc>
          <w:tcPr>
            <w:tcW w:type="dxa" w:w="2835"/>
            <w:shd w:fill="D6E4F0" w:val="clear"/>
          </w:tcPr>
          <w:p>
            <w:r>
              <w:rPr>
                <w:b/>
                <w:sz w:val="18"/>
              </w:rPr>
              <w:t>Punca Masalah / Cause</w:t>
            </w:r>
          </w:p>
        </w:tc>
        <w:tc>
          <w:tcPr>
            <w:tcW w:type="dxa" w:w="6236"/>
          </w:tcPr>
          <w:p>
            <w:r>
              <w:rPr>
                <w:sz w:val="18"/>
              </w:rPr>
              <w:t>Review was deferred due to the Facilities Manager's involvement in the new data centre construction project (2025). No automated review schedule tracking was in place.</w:t>
            </w:r>
          </w:p>
        </w:tc>
      </w:tr>
      <w:tr>
        <w:tc>
          <w:tcPr>
            <w:tcW w:type="dxa" w:w="2835"/>
            <w:shd w:fill="D6E4F0" w:val="clear"/>
          </w:tcPr>
          <w:p>
            <w:r>
              <w:rPr>
                <w:b/>
                <w:sz w:val="18"/>
              </w:rPr>
              <w:t>Impak / Consequence</w:t>
            </w:r>
          </w:p>
        </w:tc>
        <w:tc>
          <w:tcPr>
            <w:tcW w:type="dxa" w:w="6236"/>
          </w:tcPr>
          <w:p>
            <w:r>
              <w:rPr>
                <w:sz w:val="18"/>
              </w:rPr>
              <w:t>The physical security procedure may not reflect current threats, recent incidents, or changes to physical infrastructure (e.g., new data centre). Risk is low as the review is in progress and the existing procedure remains substantially current. No physical security incidents were reported during the period.</w:t>
            </w:r>
          </w:p>
        </w:tc>
      </w:tr>
      <w:tr>
        <w:tc>
          <w:tcPr>
            <w:tcW w:type="dxa" w:w="2835"/>
            <w:shd w:fill="D6E4F0" w:val="clear"/>
          </w:tcPr>
          <w:p>
            <w:r>
              <w:rPr>
                <w:b/>
                <w:sz w:val="18"/>
              </w:rPr>
              <w:t>Peluang Penambahbaikan / Corrective Action</w:t>
            </w:r>
          </w:p>
        </w:tc>
        <w:tc>
          <w:tcPr>
            <w:tcW w:type="dxa" w:w="6236"/>
          </w:tcPr>
          <w:p>
            <w:r>
              <w:rPr>
                <w:sz w:val="18"/>
              </w:rPr>
              <w:t>1. Complete the physical security procedure review within 30 days.</w:t>
              <w:br/>
              <w:t>2. Implement automated review schedule tracking for all security procedures.</w:t>
              <w:br/>
              <w:t>3. Ensure the updated procedure covers the new data centre physical controls.</w:t>
            </w:r>
          </w:p>
        </w:tc>
      </w:tr>
      <w:tr>
        <w:tc>
          <w:tcPr>
            <w:tcW w:type="dxa" w:w="2835"/>
            <w:shd w:fill="D6E4F0" w:val="clear"/>
          </w:tcPr>
          <w:p>
            <w:r>
              <w:rPr>
                <w:b/>
                <w:sz w:val="18"/>
              </w:rPr>
              <w:t>Klasifikasi Undang-Undang / Legal Classification</w:t>
            </w:r>
          </w:p>
        </w:tc>
        <w:tc>
          <w:tcPr>
            <w:tcW w:type="dxa" w:w="6236"/>
          </w:tcPr>
          <w:p>
            <w:r>
              <w:rPr>
                <w:sz w:val="18"/>
              </w:rPr>
              <w:t>CoP 13.1.5</w:t>
            </w:r>
          </w:p>
        </w:tc>
      </w:tr>
      <w:tr>
        <w:tc>
          <w:tcPr>
            <w:tcW w:type="dxa" w:w="2835"/>
            <w:shd w:fill="D6E4F0" w:val="clear"/>
          </w:tcPr>
          <w:p>
            <w:r>
              <w:rPr>
                <w:b/>
                <w:sz w:val="18"/>
              </w:rPr>
              <w:t>Boleh Dikompaun? / Compoundable?</w:t>
            </w:r>
          </w:p>
        </w:tc>
        <w:tc>
          <w:tcPr>
            <w:tcW w:type="dxa" w:w="6236"/>
          </w:tcPr>
          <w:p>
            <w:r>
              <w:rPr>
                <w:sz w:val="18"/>
              </w:rPr>
              <w:t>N/A — CoP non-compliance.</w:t>
            </w:r>
          </w:p>
        </w:tc>
      </w:tr>
    </w:tbl>
    <w:p/>
    <w:p>
      <w:r>
        <w:br w:type="page"/>
      </w:r>
    </w:p>
    <w:p>
      <w:pPr>
        <w:pStyle w:val="Heading1"/>
      </w:pPr>
      <w:r>
        <w:t>7. Pematuhan Arahan Ketua Eksekutif / CE Directive Compliance</w:t>
      </w:r>
    </w:p>
    <w:p>
      <w:r>
        <w:t>This section covers 42 mandatory requirements extracted from CE Directives 01-10 that are not duplicated in CoP domains. These are tested separately from CoP-based requirements.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1F4E79" w:val="clear"/>
          </w:tcPr>
          <w:p>
            <w:pPr/>
            <w:r>
              <w:rPr>
                <w:b/>
                <w:color w:val="FFFFFF"/>
                <w:sz w:val="18"/>
              </w:rPr>
              <w:t>Arahan / Directive</w:t>
            </w:r>
          </w:p>
        </w:tc>
        <w:tc>
          <w:tcPr>
            <w:tcW w:type="dxa" w:w="2268"/>
            <w:shd w:fill="1F4E79" w:val="clear"/>
          </w:tcPr>
          <w:p>
            <w:pPr/>
            <w:r>
              <w:rPr>
                <w:b/>
                <w:color w:val="FFFFFF"/>
                <w:sz w:val="18"/>
              </w:rPr>
              <w:t>Perkara / Subject</w:t>
            </w:r>
          </w:p>
        </w:tc>
        <w:tc>
          <w:tcPr>
            <w:tcW w:type="dxa" w:w="1134"/>
            <w:shd w:fill="1F4E79" w:val="clear"/>
          </w:tcPr>
          <w:p>
            <w:pPr/>
            <w:r>
              <w:rPr>
                <w:b/>
                <w:color w:val="FFFFFF"/>
                <w:sz w:val="18"/>
              </w:rPr>
              <w:t>Keperluan / Req Count</w:t>
            </w:r>
          </w:p>
        </w:tc>
        <w:tc>
          <w:tcPr>
            <w:tcW w:type="dxa" w:w="3969"/>
            <w:shd w:fill="1F4E79" w:val="clear"/>
          </w:tcPr>
          <w:p>
            <w:pPr/>
            <w:r>
              <w:rPr>
                <w:b/>
                <w:color w:val="FFFFFF"/>
                <w:sz w:val="18"/>
              </w:rPr>
              <w:t>Status Pematuhan / Compliance</w:t>
            </w:r>
          </w:p>
        </w:tc>
      </w:tr>
      <w:tr>
        <w:tc>
          <w:tcPr>
            <w:tcW w:type="dxa" w:w="1701"/>
          </w:tcPr>
          <w:p>
            <w:r>
              <w:rPr>
                <w:sz w:val="18"/>
              </w:rPr>
              <w:t>CE Directive 01</w:t>
            </w:r>
          </w:p>
        </w:tc>
        <w:tc>
          <w:tcPr>
            <w:tcW w:type="dxa" w:w="2268"/>
          </w:tcPr>
          <w:p>
            <w:r>
              <w:rPr>
                <w:sz w:val="18"/>
              </w:rPr>
              <w:t>CSIRT Establishment</w:t>
            </w:r>
          </w:p>
        </w:tc>
        <w:tc>
          <w:tcPr>
            <w:tcW w:type="dxa" w:w="1134"/>
          </w:tcPr>
          <w:p>
            <w:r>
              <w:rPr>
                <w:sz w:val="18"/>
              </w:rPr>
              <w:t>5</w:t>
            </w:r>
          </w:p>
        </w:tc>
        <w:tc>
          <w:tcPr>
            <w:tcW w:type="dxa" w:w="3969"/>
          </w:tcPr>
          <w:p>
            <w:r>
              <w:rPr>
                <w:sz w:val="18"/>
              </w:rPr>
              <w:t>0 P / 0 SP / 5 TP / 0 TB</w:t>
            </w:r>
          </w:p>
        </w:tc>
      </w:tr>
      <w:tr>
        <w:tc>
          <w:tcPr>
            <w:tcW w:type="dxa" w:w="1701"/>
            <w:shd w:fill="F2F2F2" w:val="clear"/>
          </w:tcPr>
          <w:p>
            <w:r>
              <w:rPr>
                <w:sz w:val="18"/>
              </w:rPr>
              <w:t>CE Directive 02</w:t>
            </w:r>
          </w:p>
        </w:tc>
        <w:tc>
          <w:tcPr>
            <w:tcW w:type="dxa" w:w="2268"/>
            <w:shd w:fill="F2F2F2" w:val="clear"/>
          </w:tcPr>
          <w:p>
            <w:r>
              <w:rPr>
                <w:sz w:val="18"/>
              </w:rPr>
              <w:t>Authorised Persons Registration</w:t>
            </w:r>
          </w:p>
        </w:tc>
        <w:tc>
          <w:tcPr>
            <w:tcW w:type="dxa" w:w="1134"/>
            <w:shd w:fill="F2F2F2" w:val="clear"/>
          </w:tcPr>
          <w:p>
            <w:r>
              <w:rPr>
                <w:sz w:val="18"/>
              </w:rPr>
              <w:t>4</w:t>
            </w:r>
          </w:p>
        </w:tc>
        <w:tc>
          <w:tcPr>
            <w:tcW w:type="dxa" w:w="3969"/>
            <w:shd w:fill="F2F2F2" w:val="clear"/>
          </w:tcPr>
          <w:p>
            <w:r>
              <w:rPr>
                <w:sz w:val="18"/>
              </w:rPr>
              <w:t>1 P / 0 SP / 3 TP / 0 TB</w:t>
            </w:r>
          </w:p>
        </w:tc>
      </w:tr>
      <w:tr>
        <w:tc>
          <w:tcPr>
            <w:tcW w:type="dxa" w:w="1701"/>
          </w:tcPr>
          <w:p>
            <w:r>
              <w:rPr>
                <w:sz w:val="18"/>
              </w:rPr>
              <w:t>CE Directive 03</w:t>
            </w:r>
          </w:p>
        </w:tc>
        <w:tc>
          <w:tcPr>
            <w:tcW w:type="dxa" w:w="2268"/>
          </w:tcPr>
          <w:p>
            <w:r>
              <w:rPr>
                <w:sz w:val="18"/>
              </w:rPr>
              <w:t>Information Provision to CE</w:t>
            </w:r>
          </w:p>
        </w:tc>
        <w:tc>
          <w:tcPr>
            <w:tcW w:type="dxa" w:w="1134"/>
          </w:tcPr>
          <w:p>
            <w:r>
              <w:rPr>
                <w:sz w:val="18"/>
              </w:rPr>
              <w:t>3</w:t>
            </w:r>
          </w:p>
        </w:tc>
        <w:tc>
          <w:tcPr>
            <w:tcW w:type="dxa" w:w="3969"/>
          </w:tcPr>
          <w:p>
            <w:r>
              <w:rPr>
                <w:sz w:val="18"/>
              </w:rPr>
              <w:t>3 P / 0 SP / 0 TP / 0 TB</w:t>
            </w:r>
          </w:p>
        </w:tc>
      </w:tr>
      <w:tr>
        <w:tc>
          <w:tcPr>
            <w:tcW w:type="dxa" w:w="1701"/>
            <w:shd w:fill="F2F2F2" w:val="clear"/>
          </w:tcPr>
          <w:p>
            <w:r>
              <w:rPr>
                <w:sz w:val="18"/>
              </w:rPr>
              <w:t>CE Directive 04</w:t>
            </w:r>
          </w:p>
        </w:tc>
        <w:tc>
          <w:tcPr>
            <w:tcW w:type="dxa" w:w="2268"/>
            <w:shd w:fill="F2F2F2" w:val="clear"/>
          </w:tcPr>
          <w:p>
            <w:r>
              <w:rPr>
                <w:sz w:val="18"/>
              </w:rPr>
              <w:t>NCII System Information</w:t>
            </w:r>
          </w:p>
        </w:tc>
        <w:tc>
          <w:tcPr>
            <w:tcW w:type="dxa" w:w="1134"/>
            <w:shd w:fill="F2F2F2" w:val="clear"/>
          </w:tcPr>
          <w:p>
            <w:r>
              <w:rPr>
                <w:sz w:val="18"/>
              </w:rPr>
              <w:t>4</w:t>
            </w:r>
          </w:p>
        </w:tc>
        <w:tc>
          <w:tcPr>
            <w:tcW w:type="dxa" w:w="3969"/>
            <w:shd w:fill="F2F2F2" w:val="clear"/>
          </w:tcPr>
          <w:p>
            <w:r>
              <w:rPr>
                <w:sz w:val="18"/>
              </w:rPr>
              <w:t>4 P / 0 SP / 0 TP / 0 TB</w:t>
            </w:r>
          </w:p>
        </w:tc>
      </w:tr>
      <w:tr>
        <w:tc>
          <w:tcPr>
            <w:tcW w:type="dxa" w:w="1701"/>
          </w:tcPr>
          <w:p>
            <w:r>
              <w:rPr>
                <w:sz w:val="18"/>
              </w:rPr>
              <w:t>CE Directive 05</w:t>
            </w:r>
          </w:p>
        </w:tc>
        <w:tc>
          <w:tcPr>
            <w:tcW w:type="dxa" w:w="2268"/>
          </w:tcPr>
          <w:p>
            <w:r>
              <w:rPr>
                <w:sz w:val="18"/>
              </w:rPr>
              <w:t>Risk Assessment Process</w:t>
            </w:r>
          </w:p>
        </w:tc>
        <w:tc>
          <w:tcPr>
            <w:tcW w:type="dxa" w:w="1134"/>
          </w:tcPr>
          <w:p>
            <w:r>
              <w:rPr>
                <w:sz w:val="18"/>
              </w:rPr>
              <w:t>6</w:t>
            </w:r>
          </w:p>
        </w:tc>
        <w:tc>
          <w:tcPr>
            <w:tcW w:type="dxa" w:w="3969"/>
          </w:tcPr>
          <w:p>
            <w:r>
              <w:rPr>
                <w:sz w:val="18"/>
              </w:rPr>
              <w:t>4 P / 1 SP / 1 TP / 0 TB</w:t>
            </w:r>
          </w:p>
        </w:tc>
      </w:tr>
      <w:tr>
        <w:tc>
          <w:tcPr>
            <w:tcW w:type="dxa" w:w="1701"/>
            <w:shd w:fill="F2F2F2" w:val="clear"/>
          </w:tcPr>
          <w:p>
            <w:r>
              <w:rPr>
                <w:sz w:val="18"/>
              </w:rPr>
              <w:t>CE Directive 06</w:t>
            </w:r>
          </w:p>
        </w:tc>
        <w:tc>
          <w:tcPr>
            <w:tcW w:type="dxa" w:w="2268"/>
            <w:shd w:fill="F2F2F2" w:val="clear"/>
          </w:tcPr>
          <w:p>
            <w:r>
              <w:rPr>
                <w:sz w:val="18"/>
              </w:rPr>
              <w:t>Incident Notification</w:t>
            </w:r>
          </w:p>
        </w:tc>
        <w:tc>
          <w:tcPr>
            <w:tcW w:type="dxa" w:w="1134"/>
            <w:shd w:fill="F2F2F2" w:val="clear"/>
          </w:tcPr>
          <w:p>
            <w:r>
              <w:rPr>
                <w:sz w:val="18"/>
              </w:rPr>
              <w:t>5</w:t>
            </w:r>
          </w:p>
        </w:tc>
        <w:tc>
          <w:tcPr>
            <w:tcW w:type="dxa" w:w="3969"/>
            <w:shd w:fill="F2F2F2" w:val="clear"/>
          </w:tcPr>
          <w:p>
            <w:r>
              <w:rPr>
                <w:sz w:val="18"/>
              </w:rPr>
              <w:t>0 P / 0 SP / 5 TP / 0 TB</w:t>
            </w:r>
          </w:p>
        </w:tc>
      </w:tr>
      <w:tr>
        <w:tc>
          <w:tcPr>
            <w:tcW w:type="dxa" w:w="1701"/>
          </w:tcPr>
          <w:p>
            <w:r>
              <w:rPr>
                <w:sz w:val="18"/>
              </w:rPr>
              <w:t>CE Directive 07</w:t>
            </w:r>
          </w:p>
        </w:tc>
        <w:tc>
          <w:tcPr>
            <w:tcW w:type="dxa" w:w="2268"/>
          </w:tcPr>
          <w:p>
            <w:r>
              <w:rPr>
                <w:sz w:val="18"/>
              </w:rPr>
              <w:t>Threat Information Sharing</w:t>
            </w:r>
          </w:p>
        </w:tc>
        <w:tc>
          <w:tcPr>
            <w:tcW w:type="dxa" w:w="1134"/>
          </w:tcPr>
          <w:p>
            <w:r>
              <w:rPr>
                <w:sz w:val="18"/>
              </w:rPr>
              <w:t>3</w:t>
            </w:r>
          </w:p>
        </w:tc>
        <w:tc>
          <w:tcPr>
            <w:tcW w:type="dxa" w:w="3969"/>
          </w:tcPr>
          <w:p>
            <w:r>
              <w:rPr>
                <w:sz w:val="18"/>
              </w:rPr>
              <w:t>2 P / 0 SP / 1 TP / 0 TB</w:t>
            </w:r>
          </w:p>
        </w:tc>
      </w:tr>
      <w:tr>
        <w:tc>
          <w:tcPr>
            <w:tcW w:type="dxa" w:w="1701"/>
            <w:shd w:fill="F2F2F2" w:val="clear"/>
          </w:tcPr>
          <w:p>
            <w:r>
              <w:rPr>
                <w:sz w:val="18"/>
              </w:rPr>
              <w:t>CE Directive 08</w:t>
            </w:r>
          </w:p>
        </w:tc>
        <w:tc>
          <w:tcPr>
            <w:tcW w:type="dxa" w:w="2268"/>
            <w:shd w:fill="F2F2F2" w:val="clear"/>
          </w:tcPr>
          <w:p>
            <w:r>
              <w:rPr>
                <w:sz w:val="18"/>
              </w:rPr>
              <w:t>Audit Requirements</w:t>
            </w:r>
          </w:p>
        </w:tc>
        <w:tc>
          <w:tcPr>
            <w:tcW w:type="dxa" w:w="1134"/>
            <w:shd w:fill="F2F2F2" w:val="clear"/>
          </w:tcPr>
          <w:p>
            <w:r>
              <w:rPr>
                <w:sz w:val="18"/>
              </w:rPr>
              <w:t>5</w:t>
            </w:r>
          </w:p>
        </w:tc>
        <w:tc>
          <w:tcPr>
            <w:tcW w:type="dxa" w:w="3969"/>
            <w:shd w:fill="F2F2F2" w:val="clear"/>
          </w:tcPr>
          <w:p>
            <w:r>
              <w:rPr>
                <w:sz w:val="18"/>
              </w:rPr>
              <w:t>5 P / 0 SP / 0 TP / 0 TB</w:t>
            </w:r>
          </w:p>
        </w:tc>
      </w:tr>
      <w:tr>
        <w:tc>
          <w:tcPr>
            <w:tcW w:type="dxa" w:w="1701"/>
          </w:tcPr>
          <w:p>
            <w:r>
              <w:rPr>
                <w:sz w:val="18"/>
              </w:rPr>
              <w:t>CE Directive 09</w:t>
            </w:r>
          </w:p>
        </w:tc>
        <w:tc>
          <w:tcPr>
            <w:tcW w:type="dxa" w:w="2268"/>
          </w:tcPr>
          <w:p>
            <w:r>
              <w:rPr>
                <w:sz w:val="18"/>
              </w:rPr>
              <w:t>Compliance Monitoring</w:t>
            </w:r>
          </w:p>
        </w:tc>
        <w:tc>
          <w:tcPr>
            <w:tcW w:type="dxa" w:w="1134"/>
          </w:tcPr>
          <w:p>
            <w:r>
              <w:rPr>
                <w:sz w:val="18"/>
              </w:rPr>
              <w:t>4</w:t>
            </w:r>
          </w:p>
        </w:tc>
        <w:tc>
          <w:tcPr>
            <w:tcW w:type="dxa" w:w="3969"/>
          </w:tcPr>
          <w:p>
            <w:r>
              <w:rPr>
                <w:sz w:val="18"/>
              </w:rPr>
              <w:t>4 P / 0 SP / 0 TP / 0 TB</w:t>
            </w:r>
          </w:p>
        </w:tc>
      </w:tr>
      <w:tr>
        <w:tc>
          <w:tcPr>
            <w:tcW w:type="dxa" w:w="1701"/>
            <w:shd w:fill="F2F2F2" w:val="clear"/>
          </w:tcPr>
          <w:p>
            <w:r>
              <w:rPr>
                <w:sz w:val="18"/>
              </w:rPr>
              <w:t>CE Directive 10</w:t>
            </w:r>
          </w:p>
        </w:tc>
        <w:tc>
          <w:tcPr>
            <w:tcW w:type="dxa" w:w="2268"/>
            <w:shd w:fill="F2F2F2" w:val="clear"/>
          </w:tcPr>
          <w:p>
            <w:r>
              <w:rPr>
                <w:sz w:val="18"/>
              </w:rPr>
              <w:t>Sector-Specific Directives</w:t>
            </w:r>
          </w:p>
        </w:tc>
        <w:tc>
          <w:tcPr>
            <w:tcW w:type="dxa" w:w="1134"/>
            <w:shd w:fill="F2F2F2" w:val="clear"/>
          </w:tcPr>
          <w:p>
            <w:r>
              <w:rPr>
                <w:sz w:val="18"/>
              </w:rPr>
              <w:t>3</w:t>
            </w:r>
          </w:p>
        </w:tc>
        <w:tc>
          <w:tcPr>
            <w:tcW w:type="dxa" w:w="3969"/>
            <w:shd w:fill="F2F2F2" w:val="clear"/>
          </w:tcPr>
          <w:p>
            <w:r>
              <w:rPr>
                <w:sz w:val="18"/>
              </w:rPr>
              <w:t>2 P / 1 SP / 0 TP / 0 TB</w:t>
            </w:r>
          </w:p>
        </w:tc>
      </w:tr>
    </w:tbl>
    <w:p/>
    <w:p>
      <w:pPr>
        <w:pStyle w:val="Heading2"/>
      </w:pPr>
      <w:r>
        <w:t>7.1 Penemuan Arahan / Directive Findings</w:t>
      </w:r>
    </w:p>
    <w:p>
      <w:pPr>
        <w:pStyle w:val="Heading3"/>
      </w:pPr>
      <w:r>
        <w:t>Penemuan / Finding: DIR-2026-001</w:t>
      </w:r>
    </w:p>
    <w:tbl>
      <w:tblPr>
        <w:tblStyle w:val="TableGrid"/>
        <w:tblW w:type="auto" w:w="0"/>
        <w:jc w:val="center"/>
        <w:tblLook w:firstColumn="1" w:firstRow="1" w:lastColumn="0" w:lastRow="0" w:noHBand="0" w:noVBand="1" w:val="04A0"/>
      </w:tblPr>
      <w:tblGrid>
        <w:gridCol w:w="4320"/>
        <w:gridCol w:w="4320"/>
      </w:tblGrid>
      <w:tr>
        <w:tc>
          <w:tcPr>
            <w:tcW w:type="dxa" w:w="2835"/>
            <w:shd w:fill="D6E4F0" w:val="clear"/>
          </w:tcPr>
          <w:p>
            <w:r>
              <w:rPr>
                <w:b/>
                <w:sz w:val="18"/>
              </w:rPr>
              <w:t>ID Penemuan / Finding ID</w:t>
            </w:r>
          </w:p>
        </w:tc>
        <w:tc>
          <w:tcPr>
            <w:tcW w:type="dxa" w:w="6236"/>
          </w:tcPr>
          <w:p>
            <w:r>
              <w:rPr>
                <w:sz w:val="18"/>
              </w:rPr>
              <w:t>DIR-2026-001</w:t>
            </w:r>
          </w:p>
        </w:tc>
      </w:tr>
      <w:tr>
        <w:tc>
          <w:tcPr>
            <w:tcW w:type="dxa" w:w="2835"/>
            <w:shd w:fill="D6E4F0" w:val="clear"/>
          </w:tcPr>
          <w:p>
            <w:r>
              <w:rPr>
                <w:b/>
                <w:sz w:val="18"/>
              </w:rPr>
              <w:t>Tajuk / Title</w:t>
            </w:r>
          </w:p>
        </w:tc>
        <w:tc>
          <w:tcPr>
            <w:tcW w:type="dxa" w:w="6236"/>
          </w:tcPr>
          <w:p>
            <w:r>
              <w:rPr>
                <w:sz w:val="18"/>
              </w:rPr>
              <w:t>Orang Diberi Kuasa Tidak Didaftarkan dengan NACSA / Authorised Persons Not Registered with NACSA</w:t>
            </w:r>
          </w:p>
        </w:tc>
      </w:tr>
      <w:tr>
        <w:tc>
          <w:tcPr>
            <w:tcW w:type="dxa" w:w="2835"/>
            <w:shd w:fill="D6E4F0" w:val="clear"/>
          </w:tcPr>
          <w:p>
            <w:r>
              <w:rPr>
                <w:b/>
                <w:sz w:val="18"/>
              </w:rPr>
              <w:t>Arahan / Directive</w:t>
            </w:r>
          </w:p>
        </w:tc>
        <w:tc>
          <w:tcPr>
            <w:tcW w:type="dxa" w:w="6236"/>
          </w:tcPr>
          <w:p>
            <w:r>
              <w:rPr>
                <w:sz w:val="18"/>
              </w:rPr>
              <w:t>CE Directive 02 — Authorised Persons Registration</w:t>
            </w:r>
          </w:p>
        </w:tc>
      </w:tr>
      <w:tr>
        <w:tc>
          <w:tcPr>
            <w:tcW w:type="dxa" w:w="2835"/>
            <w:shd w:fill="D6E4F0" w:val="clear"/>
          </w:tcPr>
          <w:p>
            <w:r>
              <w:rPr>
                <w:b/>
                <w:sz w:val="18"/>
              </w:rPr>
              <w:t>Rujukan Perenggan / Paragraph Reference</w:t>
            </w:r>
          </w:p>
        </w:tc>
        <w:tc>
          <w:tcPr>
            <w:tcW w:type="dxa" w:w="6236"/>
          </w:tcPr>
          <w:p>
            <w:r>
              <w:rPr>
                <w:sz w:val="18"/>
              </w:rPr>
              <w:t>Directive 02, Para 6-8</w:t>
            </w:r>
          </w:p>
        </w:tc>
      </w:tr>
      <w:tr>
        <w:tc>
          <w:tcPr>
            <w:tcW w:type="dxa" w:w="2835"/>
            <w:shd w:fill="D6E4F0" w:val="clear"/>
          </w:tcPr>
          <w:p>
            <w:r>
              <w:rPr>
                <w:b/>
                <w:sz w:val="18"/>
              </w:rPr>
              <w:t>Keterukan / Severity</w:t>
            </w:r>
          </w:p>
        </w:tc>
        <w:tc>
          <w:tcPr>
            <w:tcW w:type="dxa" w:w="6236"/>
          </w:tcPr>
          <w:p>
            <w:r>
              <w:rPr>
                <w:sz w:val="18"/>
              </w:rPr>
              <w:t>Kritikal (Critical)</w:t>
            </w:r>
          </w:p>
        </w:tc>
      </w:tr>
      <w:tr>
        <w:tc>
          <w:tcPr>
            <w:tcW w:type="dxa" w:w="2835"/>
            <w:shd w:fill="D6E4F0" w:val="clear"/>
          </w:tcPr>
          <w:p>
            <w:r>
              <w:rPr>
                <w:b/>
                <w:sz w:val="18"/>
              </w:rPr>
              <w:t>Keadaan Sebenar / Condition</w:t>
            </w:r>
          </w:p>
        </w:tc>
        <w:tc>
          <w:tcPr>
            <w:tcW w:type="dxa" w:w="6236"/>
          </w:tcPr>
          <w:p>
            <w:r>
              <w:rPr>
                <w:sz w:val="18"/>
              </w:rPr>
              <w:t>STS has not registered any authorised persons with NACSA as required by CE Directive 02. The entity has designated internal authorised persons (CISO, IT Security Manager, Network Operations Manager) but has not submitted their particulars to NACSA for approval. Without registered authorised persons, the entity cannot officially communicate with NACSA on cyber security matters or receive classified threat intelligence.</w:t>
            </w:r>
          </w:p>
        </w:tc>
      </w:tr>
      <w:tr>
        <w:tc>
          <w:tcPr>
            <w:tcW w:type="dxa" w:w="2835"/>
            <w:shd w:fill="D6E4F0" w:val="clear"/>
          </w:tcPr>
          <w:p>
            <w:r>
              <w:rPr>
                <w:b/>
                <w:sz w:val="18"/>
              </w:rPr>
              <w:t>Kriteria / Criteria</w:t>
            </w:r>
          </w:p>
        </w:tc>
        <w:tc>
          <w:tcPr>
            <w:tcW w:type="dxa" w:w="6236"/>
          </w:tcPr>
          <w:p>
            <w:r>
              <w:rPr>
                <w:sz w:val="18"/>
              </w:rPr>
              <w:t>CE Directive 02 requires NCII entities to register authorised persons with NACSA and maintain current registration at all times.</w:t>
            </w:r>
          </w:p>
        </w:tc>
      </w:tr>
      <w:tr>
        <w:tc>
          <w:tcPr>
            <w:tcW w:type="dxa" w:w="2835"/>
            <w:shd w:fill="D6E4F0" w:val="clear"/>
          </w:tcPr>
          <w:p>
            <w:r>
              <w:rPr>
                <w:b/>
                <w:sz w:val="18"/>
              </w:rPr>
              <w:t>Punca Masalah / Cause</w:t>
            </w:r>
          </w:p>
        </w:tc>
        <w:tc>
          <w:tcPr>
            <w:tcW w:type="dxa" w:w="6236"/>
          </w:tcPr>
          <w:p>
            <w:r>
              <w:rPr>
                <w:sz w:val="18"/>
              </w:rPr>
              <w:t>The CISO was unaware that authorised person registration was a separate requirement from NCII entity designation. No internal tracking of CE Directive compliance obligations existed prior to this audit.</w:t>
            </w:r>
          </w:p>
        </w:tc>
      </w:tr>
      <w:tr>
        <w:tc>
          <w:tcPr>
            <w:tcW w:type="dxa" w:w="2835"/>
            <w:shd w:fill="D6E4F0" w:val="clear"/>
          </w:tcPr>
          <w:p>
            <w:r>
              <w:rPr>
                <w:b/>
                <w:sz w:val="18"/>
              </w:rPr>
              <w:t>Impak / Consequence</w:t>
            </w:r>
          </w:p>
        </w:tc>
        <w:tc>
          <w:tcPr>
            <w:tcW w:type="dxa" w:w="6236"/>
          </w:tcPr>
          <w:p>
            <w:r>
              <w:rPr>
                <w:sz w:val="18"/>
              </w:rPr>
              <w:t>Without registered authorised persons, STS cannot receive classified threat intelligence from NACSA, cannot participate in sector-level threat sharing, and may face delays in official communications during a cyber security incident. This compounds the CSIRT finding (CoP-2026-001) — the entity is effectively isolated from the national cyber security ecosystem.</w:t>
            </w:r>
          </w:p>
        </w:tc>
      </w:tr>
      <w:tr>
        <w:tc>
          <w:tcPr>
            <w:tcW w:type="dxa" w:w="2835"/>
            <w:shd w:fill="D6E4F0" w:val="clear"/>
          </w:tcPr>
          <w:p>
            <w:r>
              <w:rPr>
                <w:b/>
                <w:sz w:val="18"/>
              </w:rPr>
              <w:t>Peluang Penambahbaikan / Corrective Action</w:t>
            </w:r>
          </w:p>
        </w:tc>
        <w:tc>
          <w:tcPr>
            <w:tcW w:type="dxa" w:w="6236"/>
          </w:tcPr>
          <w:p>
            <w:r>
              <w:rPr>
                <w:sz w:val="18"/>
              </w:rPr>
              <w:t>1. Submit authorised person registration forms to NACSA immediately.</w:t>
              <w:br/>
              <w:t>2. Register minimum 3 authorised persons covering 24/7 availability.</w:t>
              <w:br/>
              <w:t>3. Establish process for updating registrations on personnel changes.</w:t>
            </w:r>
          </w:p>
        </w:tc>
      </w:tr>
    </w:tbl>
    <w:p/>
    <w:p>
      <w:r>
        <w:br w:type="page"/>
      </w:r>
    </w:p>
    <w:p>
      <w:pPr>
        <w:pStyle w:val="Heading1"/>
      </w:pPr>
      <w:r>
        <w:t>8. Profil Pematuhan Domain / Domain Compliance Profile</w:t>
      </w:r>
    </w:p>
    <w:p>
      <w:r>
        <w:t>Aggregation uses weakest-link per domain — domains are presented as a compliance profile, not blended into a single score. Each domain shows counts for Tier 1 (SHALL) requirements only.</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737"/>
            <w:shd w:fill="1F4E79" w:val="clear"/>
          </w:tcPr>
          <w:p>
            <w:pPr/>
            <w:r>
              <w:rPr>
                <w:b/>
                <w:color w:val="FFFFFF"/>
                <w:sz w:val="18"/>
              </w:rPr>
              <w:t>CoP</w:t>
            </w:r>
          </w:p>
        </w:tc>
        <w:tc>
          <w:tcPr>
            <w:tcW w:type="dxa" w:w="2835"/>
            <w:shd w:fill="1F4E79" w:val="clear"/>
          </w:tcPr>
          <w:p>
            <w:pPr/>
            <w:r>
              <w:rPr>
                <w:b/>
                <w:color w:val="FFFFFF"/>
                <w:sz w:val="18"/>
              </w:rPr>
              <w:t>Domain</w:t>
            </w:r>
          </w:p>
        </w:tc>
        <w:tc>
          <w:tcPr>
            <w:tcW w:type="dxa" w:w="1134"/>
            <w:shd w:fill="1F4E79" w:val="clear"/>
          </w:tcPr>
          <w:p>
            <w:pPr/>
            <w:r>
              <w:rPr>
                <w:b/>
                <w:color w:val="FFFFFF"/>
                <w:sz w:val="18"/>
              </w:rPr>
              <w:t>Jumlah T1 / T1 Total</w:t>
            </w:r>
          </w:p>
        </w:tc>
        <w:tc>
          <w:tcPr>
            <w:tcW w:type="dxa" w:w="850"/>
            <w:shd w:fill="1F4E79" w:val="clear"/>
          </w:tcPr>
          <w:p>
            <w:pPr/>
            <w:r>
              <w:rPr>
                <w:b/>
                <w:color w:val="FFFFFF"/>
                <w:sz w:val="18"/>
              </w:rPr>
              <w:t># P</w:t>
            </w:r>
          </w:p>
        </w:tc>
        <w:tc>
          <w:tcPr>
            <w:tcW w:type="dxa" w:w="850"/>
            <w:shd w:fill="1F4E79" w:val="clear"/>
          </w:tcPr>
          <w:p>
            <w:pPr/>
            <w:r>
              <w:rPr>
                <w:b/>
                <w:color w:val="FFFFFF"/>
                <w:sz w:val="18"/>
              </w:rPr>
              <w:t># SP</w:t>
            </w:r>
          </w:p>
        </w:tc>
        <w:tc>
          <w:tcPr>
            <w:tcW w:type="dxa" w:w="850"/>
            <w:shd w:fill="1F4E79" w:val="clear"/>
          </w:tcPr>
          <w:p>
            <w:pPr/>
            <w:r>
              <w:rPr>
                <w:b/>
                <w:color w:val="FFFFFF"/>
                <w:sz w:val="18"/>
              </w:rPr>
              <w:t># TP</w:t>
            </w:r>
          </w:p>
        </w:tc>
        <w:tc>
          <w:tcPr>
            <w:tcW w:type="dxa" w:w="850"/>
            <w:shd w:fill="1F4E79" w:val="clear"/>
          </w:tcPr>
          <w:p>
            <w:pPr/>
            <w:r>
              <w:rPr>
                <w:b/>
                <w:color w:val="FFFFFF"/>
                <w:sz w:val="18"/>
              </w:rPr>
              <w:t># TB</w:t>
            </w:r>
          </w:p>
        </w:tc>
      </w:tr>
      <w:tr>
        <w:tc>
          <w:tcPr>
            <w:tcW w:type="dxa" w:w="737"/>
          </w:tcPr>
          <w:p>
            <w:r>
              <w:rPr>
                <w:sz w:val="18"/>
              </w:rPr>
              <w:t>4.0</w:t>
            </w:r>
          </w:p>
        </w:tc>
        <w:tc>
          <w:tcPr>
            <w:tcW w:type="dxa" w:w="2835"/>
          </w:tcPr>
          <w:p>
            <w:r>
              <w:rPr>
                <w:sz w:val="18"/>
              </w:rPr>
              <w:t>Governance and Leadership</w:t>
            </w:r>
          </w:p>
        </w:tc>
        <w:tc>
          <w:tcPr>
            <w:tcW w:type="dxa" w:w="1134"/>
          </w:tcPr>
          <w:p>
            <w:r>
              <w:rPr>
                <w:sz w:val="18"/>
              </w:rPr>
              <w:t>1</w:t>
            </w:r>
          </w:p>
        </w:tc>
        <w:tc>
          <w:tcPr>
            <w:tcW w:type="dxa" w:w="850"/>
          </w:tcPr>
          <w:p>
            <w:r>
              <w:rPr>
                <w:sz w:val="18"/>
              </w:rPr>
              <w:t>1</w:t>
            </w:r>
          </w:p>
        </w:tc>
        <w:tc>
          <w:tcPr>
            <w:tcW w:type="dxa" w:w="850"/>
          </w:tcPr>
          <w:p>
            <w:r>
              <w:rPr>
                <w:sz w:val="18"/>
              </w:rPr>
              <w:t>0</w:t>
            </w:r>
          </w:p>
        </w:tc>
        <w:tc>
          <w:tcPr>
            <w:tcW w:type="dxa" w:w="850"/>
          </w:tcPr>
          <w:p>
            <w:r>
              <w:rPr>
                <w:sz w:val="18"/>
              </w:rPr>
              <w:t>0</w:t>
            </w:r>
          </w:p>
        </w:tc>
        <w:tc>
          <w:tcPr>
            <w:tcW w:type="dxa" w:w="850"/>
          </w:tcPr>
          <w:p>
            <w:r>
              <w:rPr>
                <w:sz w:val="18"/>
              </w:rPr>
              <w:t>0</w:t>
            </w:r>
          </w:p>
        </w:tc>
      </w:tr>
      <w:tr>
        <w:tc>
          <w:tcPr>
            <w:tcW w:type="dxa" w:w="737"/>
            <w:shd w:fill="F2F2F2" w:val="clear"/>
          </w:tcPr>
          <w:p>
            <w:r>
              <w:rPr>
                <w:sz w:val="18"/>
              </w:rPr>
              <w:t>5.0</w:t>
            </w:r>
          </w:p>
        </w:tc>
        <w:tc>
          <w:tcPr>
            <w:tcW w:type="dxa" w:w="2835"/>
            <w:shd w:fill="F2F2F2" w:val="clear"/>
          </w:tcPr>
          <w:p>
            <w:r>
              <w:rPr>
                <w:sz w:val="18"/>
              </w:rPr>
              <w:t>Cyber Security Policy and Objectives</w:t>
            </w:r>
          </w:p>
        </w:tc>
        <w:tc>
          <w:tcPr>
            <w:tcW w:type="dxa" w:w="1134"/>
            <w:shd w:fill="F2F2F2" w:val="clear"/>
          </w:tcPr>
          <w:p>
            <w:r>
              <w:rPr>
                <w:sz w:val="18"/>
              </w:rPr>
              <w:t>11</w:t>
            </w:r>
          </w:p>
        </w:tc>
        <w:tc>
          <w:tcPr>
            <w:tcW w:type="dxa" w:w="850"/>
            <w:shd w:fill="F2F2F2" w:val="clear"/>
          </w:tcPr>
          <w:p>
            <w:r>
              <w:rPr>
                <w:sz w:val="18"/>
              </w:rPr>
              <w:t>9</w:t>
            </w:r>
          </w:p>
        </w:tc>
        <w:tc>
          <w:tcPr>
            <w:tcW w:type="dxa" w:w="850"/>
            <w:shd w:fill="F2F2F2" w:val="clear"/>
          </w:tcPr>
          <w:p>
            <w:r>
              <w:rPr>
                <w:sz w:val="18"/>
              </w:rPr>
              <w:t>1</w:t>
            </w:r>
          </w:p>
        </w:tc>
        <w:tc>
          <w:tcPr>
            <w:tcW w:type="dxa" w:w="850"/>
            <w:shd w:fill="F2F2F2" w:val="clear"/>
          </w:tcPr>
          <w:p>
            <w:r>
              <w:rPr>
                <w:sz w:val="18"/>
              </w:rPr>
              <w:t>1</w:t>
            </w:r>
          </w:p>
        </w:tc>
        <w:tc>
          <w:tcPr>
            <w:tcW w:type="dxa" w:w="850"/>
            <w:shd w:fill="F2F2F2" w:val="clear"/>
          </w:tcPr>
          <w:p>
            <w:r>
              <w:rPr>
                <w:sz w:val="18"/>
              </w:rPr>
              <w:t>0</w:t>
            </w:r>
          </w:p>
        </w:tc>
      </w:tr>
      <w:tr>
        <w:tc>
          <w:tcPr>
            <w:tcW w:type="dxa" w:w="737"/>
          </w:tcPr>
          <w:p>
            <w:r>
              <w:rPr>
                <w:sz w:val="18"/>
              </w:rPr>
              <w:t>6.0</w:t>
            </w:r>
          </w:p>
        </w:tc>
        <w:tc>
          <w:tcPr>
            <w:tcW w:type="dxa" w:w="2835"/>
          </w:tcPr>
          <w:p>
            <w:r>
              <w:rPr>
                <w:sz w:val="18"/>
              </w:rPr>
              <w:t>Organisational Development</w:t>
            </w:r>
          </w:p>
        </w:tc>
        <w:tc>
          <w:tcPr>
            <w:tcW w:type="dxa" w:w="1134"/>
          </w:tcPr>
          <w:p>
            <w:r>
              <w:rPr>
                <w:sz w:val="18"/>
              </w:rPr>
              <w:t>19</w:t>
            </w:r>
          </w:p>
        </w:tc>
        <w:tc>
          <w:tcPr>
            <w:tcW w:type="dxa" w:w="850"/>
          </w:tcPr>
          <w:p>
            <w:r>
              <w:rPr>
                <w:sz w:val="18"/>
              </w:rPr>
              <w:t>15</w:t>
            </w:r>
          </w:p>
        </w:tc>
        <w:tc>
          <w:tcPr>
            <w:tcW w:type="dxa" w:w="850"/>
          </w:tcPr>
          <w:p>
            <w:r>
              <w:rPr>
                <w:sz w:val="18"/>
              </w:rPr>
              <w:t>3</w:t>
            </w:r>
          </w:p>
        </w:tc>
        <w:tc>
          <w:tcPr>
            <w:tcW w:type="dxa" w:w="850"/>
          </w:tcPr>
          <w:p>
            <w:r>
              <w:rPr>
                <w:sz w:val="18"/>
              </w:rPr>
              <w:t>1</w:t>
            </w:r>
          </w:p>
        </w:tc>
        <w:tc>
          <w:tcPr>
            <w:tcW w:type="dxa" w:w="850"/>
          </w:tcPr>
          <w:p>
            <w:r>
              <w:rPr>
                <w:sz w:val="18"/>
              </w:rPr>
              <w:t>0</w:t>
            </w:r>
          </w:p>
        </w:tc>
      </w:tr>
      <w:tr>
        <w:tc>
          <w:tcPr>
            <w:tcW w:type="dxa" w:w="737"/>
            <w:shd w:fill="F2F2F2" w:val="clear"/>
          </w:tcPr>
          <w:p>
            <w:r>
              <w:rPr>
                <w:sz w:val="18"/>
              </w:rPr>
              <w:t>7.0</w:t>
            </w:r>
          </w:p>
        </w:tc>
        <w:tc>
          <w:tcPr>
            <w:tcW w:type="dxa" w:w="2835"/>
            <w:shd w:fill="F2F2F2" w:val="clear"/>
          </w:tcPr>
          <w:p>
            <w:r>
              <w:rPr>
                <w:sz w:val="18"/>
              </w:rPr>
              <w:t>Cyber Security Assurance</w:t>
            </w:r>
          </w:p>
        </w:tc>
        <w:tc>
          <w:tcPr>
            <w:tcW w:type="dxa" w:w="1134"/>
            <w:shd w:fill="F2F2F2" w:val="clear"/>
          </w:tcPr>
          <w:p>
            <w:r>
              <w:rPr>
                <w:sz w:val="18"/>
              </w:rPr>
              <w:t>24</w:t>
            </w:r>
          </w:p>
        </w:tc>
        <w:tc>
          <w:tcPr>
            <w:tcW w:type="dxa" w:w="850"/>
            <w:shd w:fill="F2F2F2" w:val="clear"/>
          </w:tcPr>
          <w:p>
            <w:r>
              <w:rPr>
                <w:sz w:val="18"/>
              </w:rPr>
              <w:t>20</w:t>
            </w:r>
          </w:p>
        </w:tc>
        <w:tc>
          <w:tcPr>
            <w:tcW w:type="dxa" w:w="850"/>
            <w:shd w:fill="F2F2F2" w:val="clear"/>
          </w:tcPr>
          <w:p>
            <w:r>
              <w:rPr>
                <w:sz w:val="18"/>
              </w:rPr>
              <w:t>3</w:t>
            </w:r>
          </w:p>
        </w:tc>
        <w:tc>
          <w:tcPr>
            <w:tcW w:type="dxa" w:w="850"/>
            <w:shd w:fill="F2F2F2" w:val="clear"/>
          </w:tcPr>
          <w:p>
            <w:r>
              <w:rPr>
                <w:sz w:val="18"/>
              </w:rPr>
              <w:t>1</w:t>
            </w:r>
          </w:p>
        </w:tc>
        <w:tc>
          <w:tcPr>
            <w:tcW w:type="dxa" w:w="850"/>
            <w:shd w:fill="F2F2F2" w:val="clear"/>
          </w:tcPr>
          <w:p>
            <w:r>
              <w:rPr>
                <w:sz w:val="18"/>
              </w:rPr>
              <w:t>0</w:t>
            </w:r>
          </w:p>
        </w:tc>
      </w:tr>
      <w:tr>
        <w:tc>
          <w:tcPr>
            <w:tcW w:type="dxa" w:w="737"/>
          </w:tcPr>
          <w:p>
            <w:r>
              <w:rPr>
                <w:sz w:val="18"/>
              </w:rPr>
              <w:t>8.0</w:t>
            </w:r>
          </w:p>
        </w:tc>
        <w:tc>
          <w:tcPr>
            <w:tcW w:type="dxa" w:w="2835"/>
          </w:tcPr>
          <w:p>
            <w:r>
              <w:rPr>
                <w:sz w:val="18"/>
              </w:rPr>
              <w:t>Resource Allocation and Optimisation</w:t>
            </w:r>
          </w:p>
        </w:tc>
        <w:tc>
          <w:tcPr>
            <w:tcW w:type="dxa" w:w="1134"/>
          </w:tcPr>
          <w:p>
            <w:r>
              <w:rPr>
                <w:sz w:val="18"/>
              </w:rPr>
              <w:t>19</w:t>
            </w:r>
          </w:p>
        </w:tc>
        <w:tc>
          <w:tcPr>
            <w:tcW w:type="dxa" w:w="850"/>
          </w:tcPr>
          <w:p>
            <w:r>
              <w:rPr>
                <w:sz w:val="18"/>
              </w:rPr>
              <w:t>16</w:t>
            </w:r>
          </w:p>
        </w:tc>
        <w:tc>
          <w:tcPr>
            <w:tcW w:type="dxa" w:w="850"/>
          </w:tcPr>
          <w:p>
            <w:r>
              <w:rPr>
                <w:sz w:val="18"/>
              </w:rPr>
              <w:t>2</w:t>
            </w:r>
          </w:p>
        </w:tc>
        <w:tc>
          <w:tcPr>
            <w:tcW w:type="dxa" w:w="850"/>
          </w:tcPr>
          <w:p>
            <w:r>
              <w:rPr>
                <w:sz w:val="18"/>
              </w:rPr>
              <w:t>1</w:t>
            </w:r>
          </w:p>
        </w:tc>
        <w:tc>
          <w:tcPr>
            <w:tcW w:type="dxa" w:w="850"/>
          </w:tcPr>
          <w:p>
            <w:r>
              <w:rPr>
                <w:sz w:val="18"/>
              </w:rPr>
              <w:t>0</w:t>
            </w:r>
          </w:p>
        </w:tc>
      </w:tr>
      <w:tr>
        <w:tc>
          <w:tcPr>
            <w:tcW w:type="dxa" w:w="737"/>
            <w:shd w:fill="F2F2F2" w:val="clear"/>
          </w:tcPr>
          <w:p>
            <w:r>
              <w:rPr>
                <w:sz w:val="18"/>
              </w:rPr>
              <w:t>9.0</w:t>
            </w:r>
          </w:p>
        </w:tc>
        <w:tc>
          <w:tcPr>
            <w:tcW w:type="dxa" w:w="2835"/>
            <w:shd w:fill="F2F2F2" w:val="clear"/>
          </w:tcPr>
          <w:p>
            <w:r>
              <w:rPr>
                <w:sz w:val="18"/>
              </w:rPr>
              <w:t>Risk Management</w:t>
            </w:r>
          </w:p>
        </w:tc>
        <w:tc>
          <w:tcPr>
            <w:tcW w:type="dxa" w:w="1134"/>
            <w:shd w:fill="F2F2F2" w:val="clear"/>
          </w:tcPr>
          <w:p>
            <w:r>
              <w:rPr>
                <w:sz w:val="18"/>
              </w:rPr>
              <w:t>19</w:t>
            </w:r>
          </w:p>
        </w:tc>
        <w:tc>
          <w:tcPr>
            <w:tcW w:type="dxa" w:w="850"/>
            <w:shd w:fill="F2F2F2" w:val="clear"/>
          </w:tcPr>
          <w:p>
            <w:r>
              <w:rPr>
                <w:sz w:val="18"/>
              </w:rPr>
              <w:t>14</w:t>
            </w:r>
          </w:p>
        </w:tc>
        <w:tc>
          <w:tcPr>
            <w:tcW w:type="dxa" w:w="850"/>
            <w:shd w:fill="F2F2F2" w:val="clear"/>
          </w:tcPr>
          <w:p>
            <w:r>
              <w:rPr>
                <w:sz w:val="18"/>
              </w:rPr>
              <w:t>3</w:t>
            </w:r>
          </w:p>
        </w:tc>
        <w:tc>
          <w:tcPr>
            <w:tcW w:type="dxa" w:w="850"/>
            <w:shd w:fill="F2F2F2" w:val="clear"/>
          </w:tcPr>
          <w:p>
            <w:r>
              <w:rPr>
                <w:sz w:val="18"/>
              </w:rPr>
              <w:t>2</w:t>
            </w:r>
          </w:p>
        </w:tc>
        <w:tc>
          <w:tcPr>
            <w:tcW w:type="dxa" w:w="850"/>
            <w:shd w:fill="F2F2F2" w:val="clear"/>
          </w:tcPr>
          <w:p>
            <w:r>
              <w:rPr>
                <w:sz w:val="18"/>
              </w:rPr>
              <w:t>0</w:t>
            </w:r>
          </w:p>
        </w:tc>
      </w:tr>
      <w:tr>
        <w:tc>
          <w:tcPr>
            <w:tcW w:type="dxa" w:w="737"/>
          </w:tcPr>
          <w:p>
            <w:r>
              <w:rPr>
                <w:sz w:val="18"/>
              </w:rPr>
              <w:t>10.0</w:t>
            </w:r>
          </w:p>
        </w:tc>
        <w:tc>
          <w:tcPr>
            <w:tcW w:type="dxa" w:w="2835"/>
          </w:tcPr>
          <w:p>
            <w:r>
              <w:rPr>
                <w:sz w:val="18"/>
              </w:rPr>
              <w:t>Operational Efficiency</w:t>
            </w:r>
          </w:p>
        </w:tc>
        <w:tc>
          <w:tcPr>
            <w:tcW w:type="dxa" w:w="1134"/>
          </w:tcPr>
          <w:p>
            <w:r>
              <w:rPr>
                <w:sz w:val="18"/>
              </w:rPr>
              <w:t>9</w:t>
            </w:r>
          </w:p>
        </w:tc>
        <w:tc>
          <w:tcPr>
            <w:tcW w:type="dxa" w:w="850"/>
          </w:tcPr>
          <w:p>
            <w:r>
              <w:rPr>
                <w:sz w:val="18"/>
              </w:rPr>
              <w:t>8</w:t>
            </w:r>
          </w:p>
        </w:tc>
        <w:tc>
          <w:tcPr>
            <w:tcW w:type="dxa" w:w="850"/>
          </w:tcPr>
          <w:p>
            <w:r>
              <w:rPr>
                <w:sz w:val="18"/>
              </w:rPr>
              <w:t>1</w:t>
            </w:r>
          </w:p>
        </w:tc>
        <w:tc>
          <w:tcPr>
            <w:tcW w:type="dxa" w:w="850"/>
          </w:tcPr>
          <w:p>
            <w:r>
              <w:rPr>
                <w:sz w:val="18"/>
              </w:rPr>
              <w:t>0</w:t>
            </w:r>
          </w:p>
        </w:tc>
        <w:tc>
          <w:tcPr>
            <w:tcW w:type="dxa" w:w="850"/>
          </w:tcPr>
          <w:p>
            <w:r>
              <w:rPr>
                <w:sz w:val="18"/>
              </w:rPr>
              <w:t>0</w:t>
            </w:r>
          </w:p>
        </w:tc>
      </w:tr>
      <w:tr>
        <w:tc>
          <w:tcPr>
            <w:tcW w:type="dxa" w:w="737"/>
            <w:shd w:fill="F2F2F2" w:val="clear"/>
          </w:tcPr>
          <w:p>
            <w:r>
              <w:rPr>
                <w:sz w:val="18"/>
              </w:rPr>
              <w:t>11.0</w:t>
            </w:r>
          </w:p>
        </w:tc>
        <w:tc>
          <w:tcPr>
            <w:tcW w:type="dxa" w:w="2835"/>
            <w:shd w:fill="F2F2F2" w:val="clear"/>
          </w:tcPr>
          <w:p>
            <w:r>
              <w:rPr>
                <w:sz w:val="18"/>
              </w:rPr>
              <w:t>Data Security</w:t>
            </w:r>
          </w:p>
        </w:tc>
        <w:tc>
          <w:tcPr>
            <w:tcW w:type="dxa" w:w="1134"/>
            <w:shd w:fill="F2F2F2" w:val="clear"/>
          </w:tcPr>
          <w:p>
            <w:r>
              <w:rPr>
                <w:sz w:val="18"/>
              </w:rPr>
              <w:t>23</w:t>
            </w:r>
          </w:p>
        </w:tc>
        <w:tc>
          <w:tcPr>
            <w:tcW w:type="dxa" w:w="850"/>
            <w:shd w:fill="F2F2F2" w:val="clear"/>
          </w:tcPr>
          <w:p>
            <w:r>
              <w:rPr>
                <w:sz w:val="18"/>
              </w:rPr>
              <w:t>19</w:t>
            </w:r>
          </w:p>
        </w:tc>
        <w:tc>
          <w:tcPr>
            <w:tcW w:type="dxa" w:w="850"/>
            <w:shd w:fill="F2F2F2" w:val="clear"/>
          </w:tcPr>
          <w:p>
            <w:r>
              <w:rPr>
                <w:sz w:val="18"/>
              </w:rPr>
              <w:t>3</w:t>
            </w:r>
          </w:p>
        </w:tc>
        <w:tc>
          <w:tcPr>
            <w:tcW w:type="dxa" w:w="850"/>
            <w:shd w:fill="F2F2F2" w:val="clear"/>
          </w:tcPr>
          <w:p>
            <w:r>
              <w:rPr>
                <w:sz w:val="18"/>
              </w:rPr>
              <w:t>1</w:t>
            </w:r>
          </w:p>
        </w:tc>
        <w:tc>
          <w:tcPr>
            <w:tcW w:type="dxa" w:w="850"/>
            <w:shd w:fill="F2F2F2" w:val="clear"/>
          </w:tcPr>
          <w:p>
            <w:r>
              <w:rPr>
                <w:sz w:val="18"/>
              </w:rPr>
              <w:t>0</w:t>
            </w:r>
          </w:p>
        </w:tc>
      </w:tr>
      <w:tr>
        <w:tc>
          <w:tcPr>
            <w:tcW w:type="dxa" w:w="737"/>
          </w:tcPr>
          <w:p>
            <w:r>
              <w:rPr>
                <w:sz w:val="18"/>
              </w:rPr>
              <w:t>12.0</w:t>
            </w:r>
          </w:p>
        </w:tc>
        <w:tc>
          <w:tcPr>
            <w:tcW w:type="dxa" w:w="2835"/>
          </w:tcPr>
          <w:p>
            <w:r>
              <w:rPr>
                <w:sz w:val="18"/>
              </w:rPr>
              <w:t>Contractual Management</w:t>
            </w:r>
          </w:p>
        </w:tc>
        <w:tc>
          <w:tcPr>
            <w:tcW w:type="dxa" w:w="1134"/>
          </w:tcPr>
          <w:p>
            <w:r>
              <w:rPr>
                <w:sz w:val="18"/>
              </w:rPr>
              <w:t>6</w:t>
            </w:r>
          </w:p>
        </w:tc>
        <w:tc>
          <w:tcPr>
            <w:tcW w:type="dxa" w:w="850"/>
          </w:tcPr>
          <w:p>
            <w:r>
              <w:rPr>
                <w:sz w:val="18"/>
              </w:rPr>
              <w:t>6</w:t>
            </w:r>
          </w:p>
        </w:tc>
        <w:tc>
          <w:tcPr>
            <w:tcW w:type="dxa" w:w="850"/>
          </w:tcPr>
          <w:p>
            <w:r>
              <w:rPr>
                <w:sz w:val="18"/>
              </w:rPr>
              <w:t>0</w:t>
            </w:r>
          </w:p>
        </w:tc>
        <w:tc>
          <w:tcPr>
            <w:tcW w:type="dxa" w:w="850"/>
          </w:tcPr>
          <w:p>
            <w:r>
              <w:rPr>
                <w:sz w:val="18"/>
              </w:rPr>
              <w:t>0</w:t>
            </w:r>
          </w:p>
        </w:tc>
        <w:tc>
          <w:tcPr>
            <w:tcW w:type="dxa" w:w="850"/>
          </w:tcPr>
          <w:p>
            <w:r>
              <w:rPr>
                <w:sz w:val="18"/>
              </w:rPr>
              <w:t>0</w:t>
            </w:r>
          </w:p>
        </w:tc>
      </w:tr>
      <w:tr>
        <w:tc>
          <w:tcPr>
            <w:tcW w:type="dxa" w:w="737"/>
            <w:shd w:fill="F2F2F2" w:val="clear"/>
          </w:tcPr>
          <w:p>
            <w:r>
              <w:rPr>
                <w:sz w:val="18"/>
              </w:rPr>
              <w:t>13.0</w:t>
            </w:r>
          </w:p>
        </w:tc>
        <w:tc>
          <w:tcPr>
            <w:tcW w:type="dxa" w:w="2835"/>
            <w:shd w:fill="F2F2F2" w:val="clear"/>
          </w:tcPr>
          <w:p>
            <w:r>
              <w:rPr>
                <w:sz w:val="18"/>
              </w:rPr>
              <w:t>Physical Security</w:t>
            </w:r>
          </w:p>
        </w:tc>
        <w:tc>
          <w:tcPr>
            <w:tcW w:type="dxa" w:w="1134"/>
            <w:shd w:fill="F2F2F2" w:val="clear"/>
          </w:tcPr>
          <w:p>
            <w:r>
              <w:rPr>
                <w:sz w:val="18"/>
              </w:rPr>
              <w:t>15</w:t>
            </w:r>
          </w:p>
        </w:tc>
        <w:tc>
          <w:tcPr>
            <w:tcW w:type="dxa" w:w="850"/>
            <w:shd w:fill="F2F2F2" w:val="clear"/>
          </w:tcPr>
          <w:p>
            <w:r>
              <w:rPr>
                <w:sz w:val="18"/>
              </w:rPr>
              <w:t>13</w:t>
            </w:r>
          </w:p>
        </w:tc>
        <w:tc>
          <w:tcPr>
            <w:tcW w:type="dxa" w:w="850"/>
            <w:shd w:fill="F2F2F2" w:val="clear"/>
          </w:tcPr>
          <w:p>
            <w:r>
              <w:rPr>
                <w:sz w:val="18"/>
              </w:rPr>
              <w:t>1</w:t>
            </w:r>
          </w:p>
        </w:tc>
        <w:tc>
          <w:tcPr>
            <w:tcW w:type="dxa" w:w="850"/>
            <w:shd w:fill="F2F2F2" w:val="clear"/>
          </w:tcPr>
          <w:p>
            <w:r>
              <w:rPr>
                <w:sz w:val="18"/>
              </w:rPr>
              <w:t>1</w:t>
            </w:r>
          </w:p>
        </w:tc>
        <w:tc>
          <w:tcPr>
            <w:tcW w:type="dxa" w:w="850"/>
            <w:shd w:fill="F2F2F2" w:val="clear"/>
          </w:tcPr>
          <w:p>
            <w:r>
              <w:rPr>
                <w:sz w:val="18"/>
              </w:rPr>
              <w:t>0</w:t>
            </w:r>
          </w:p>
        </w:tc>
      </w:tr>
      <w:tr>
        <w:tc>
          <w:tcPr>
            <w:tcW w:type="dxa" w:w="737"/>
          </w:tcPr>
          <w:p>
            <w:r>
              <w:rPr>
                <w:sz w:val="18"/>
              </w:rPr>
              <w:t>14.0</w:t>
            </w:r>
          </w:p>
        </w:tc>
        <w:tc>
          <w:tcPr>
            <w:tcW w:type="dxa" w:w="2835"/>
          </w:tcPr>
          <w:p>
            <w:r>
              <w:rPr>
                <w:sz w:val="18"/>
              </w:rPr>
              <w:t>System and Network Security</w:t>
            </w:r>
          </w:p>
        </w:tc>
        <w:tc>
          <w:tcPr>
            <w:tcW w:type="dxa" w:w="1134"/>
          </w:tcPr>
          <w:p>
            <w:r>
              <w:rPr>
                <w:sz w:val="18"/>
              </w:rPr>
              <w:t>24</w:t>
            </w:r>
          </w:p>
        </w:tc>
        <w:tc>
          <w:tcPr>
            <w:tcW w:type="dxa" w:w="850"/>
          </w:tcPr>
          <w:p>
            <w:r>
              <w:rPr>
                <w:sz w:val="18"/>
              </w:rPr>
              <w:t>18</w:t>
            </w:r>
          </w:p>
        </w:tc>
        <w:tc>
          <w:tcPr>
            <w:tcW w:type="dxa" w:w="850"/>
          </w:tcPr>
          <w:p>
            <w:r>
              <w:rPr>
                <w:sz w:val="18"/>
              </w:rPr>
              <w:t>4</w:t>
            </w:r>
          </w:p>
        </w:tc>
        <w:tc>
          <w:tcPr>
            <w:tcW w:type="dxa" w:w="850"/>
          </w:tcPr>
          <w:p>
            <w:r>
              <w:rPr>
                <w:sz w:val="18"/>
              </w:rPr>
              <w:t>2</w:t>
            </w:r>
          </w:p>
        </w:tc>
        <w:tc>
          <w:tcPr>
            <w:tcW w:type="dxa" w:w="850"/>
          </w:tcPr>
          <w:p>
            <w:r>
              <w:rPr>
                <w:sz w:val="18"/>
              </w:rPr>
              <w:t>0</w:t>
            </w:r>
          </w:p>
        </w:tc>
      </w:tr>
      <w:tr>
        <w:tc>
          <w:tcPr>
            <w:tcW w:type="dxa" w:w="737"/>
            <w:shd w:fill="F2F2F2" w:val="clear"/>
          </w:tcPr>
          <w:p>
            <w:r>
              <w:rPr>
                <w:sz w:val="18"/>
              </w:rPr>
              <w:t>15.0</w:t>
            </w:r>
          </w:p>
        </w:tc>
        <w:tc>
          <w:tcPr>
            <w:tcW w:type="dxa" w:w="2835"/>
            <w:shd w:fill="F2F2F2" w:val="clear"/>
          </w:tcPr>
          <w:p>
            <w:r>
              <w:rPr>
                <w:sz w:val="18"/>
              </w:rPr>
              <w:t>Access Control</w:t>
            </w:r>
          </w:p>
        </w:tc>
        <w:tc>
          <w:tcPr>
            <w:tcW w:type="dxa" w:w="1134"/>
            <w:shd w:fill="F2F2F2" w:val="clear"/>
          </w:tcPr>
          <w:p>
            <w:r>
              <w:rPr>
                <w:sz w:val="18"/>
              </w:rPr>
              <w:t>13</w:t>
            </w:r>
          </w:p>
        </w:tc>
        <w:tc>
          <w:tcPr>
            <w:tcW w:type="dxa" w:w="850"/>
            <w:shd w:fill="F2F2F2" w:val="clear"/>
          </w:tcPr>
          <w:p>
            <w:r>
              <w:rPr>
                <w:sz w:val="18"/>
              </w:rPr>
              <w:t>11</w:t>
            </w:r>
          </w:p>
        </w:tc>
        <w:tc>
          <w:tcPr>
            <w:tcW w:type="dxa" w:w="850"/>
            <w:shd w:fill="F2F2F2" w:val="clear"/>
          </w:tcPr>
          <w:p>
            <w:r>
              <w:rPr>
                <w:sz w:val="18"/>
              </w:rPr>
              <w:t>1</w:t>
            </w:r>
          </w:p>
        </w:tc>
        <w:tc>
          <w:tcPr>
            <w:tcW w:type="dxa" w:w="850"/>
            <w:shd w:fill="F2F2F2" w:val="clear"/>
          </w:tcPr>
          <w:p>
            <w:r>
              <w:rPr>
                <w:sz w:val="18"/>
              </w:rPr>
              <w:t>1</w:t>
            </w:r>
          </w:p>
        </w:tc>
        <w:tc>
          <w:tcPr>
            <w:tcW w:type="dxa" w:w="850"/>
            <w:shd w:fill="F2F2F2" w:val="clear"/>
          </w:tcPr>
          <w:p>
            <w:r>
              <w:rPr>
                <w:sz w:val="18"/>
              </w:rPr>
              <w:t>0</w:t>
            </w:r>
          </w:p>
        </w:tc>
      </w:tr>
      <w:tr>
        <w:tc>
          <w:tcPr>
            <w:tcW w:type="dxa" w:w="737"/>
          </w:tcPr>
          <w:p>
            <w:r>
              <w:rPr>
                <w:sz w:val="18"/>
              </w:rPr>
              <w:t>16.0</w:t>
            </w:r>
          </w:p>
        </w:tc>
        <w:tc>
          <w:tcPr>
            <w:tcW w:type="dxa" w:w="2835"/>
          </w:tcPr>
          <w:p>
            <w:r>
              <w:rPr>
                <w:sz w:val="18"/>
              </w:rPr>
              <w:t>Technical Vulnerability</w:t>
            </w:r>
          </w:p>
        </w:tc>
        <w:tc>
          <w:tcPr>
            <w:tcW w:type="dxa" w:w="1134"/>
          </w:tcPr>
          <w:p>
            <w:r>
              <w:rPr>
                <w:sz w:val="18"/>
              </w:rPr>
              <w:t>10</w:t>
            </w:r>
          </w:p>
        </w:tc>
        <w:tc>
          <w:tcPr>
            <w:tcW w:type="dxa" w:w="850"/>
          </w:tcPr>
          <w:p>
            <w:r>
              <w:rPr>
                <w:sz w:val="18"/>
              </w:rPr>
              <w:t>7</w:t>
            </w:r>
          </w:p>
        </w:tc>
        <w:tc>
          <w:tcPr>
            <w:tcW w:type="dxa" w:w="850"/>
          </w:tcPr>
          <w:p>
            <w:r>
              <w:rPr>
                <w:sz w:val="18"/>
              </w:rPr>
              <w:t>2</w:t>
            </w:r>
          </w:p>
        </w:tc>
        <w:tc>
          <w:tcPr>
            <w:tcW w:type="dxa" w:w="850"/>
          </w:tcPr>
          <w:p>
            <w:r>
              <w:rPr>
                <w:sz w:val="18"/>
              </w:rPr>
              <w:t>1</w:t>
            </w:r>
          </w:p>
        </w:tc>
        <w:tc>
          <w:tcPr>
            <w:tcW w:type="dxa" w:w="850"/>
          </w:tcPr>
          <w:p>
            <w:r>
              <w:rPr>
                <w:sz w:val="18"/>
              </w:rPr>
              <w:t>0</w:t>
            </w:r>
          </w:p>
        </w:tc>
      </w:tr>
      <w:tr>
        <w:tc>
          <w:tcPr>
            <w:tcW w:type="dxa" w:w="737"/>
            <w:shd w:fill="F2F2F2" w:val="clear"/>
          </w:tcPr>
          <w:p>
            <w:r>
              <w:rPr>
                <w:sz w:val="18"/>
              </w:rPr>
              <w:t>17.0</w:t>
            </w:r>
          </w:p>
        </w:tc>
        <w:tc>
          <w:tcPr>
            <w:tcW w:type="dxa" w:w="2835"/>
            <w:shd w:fill="F2F2F2" w:val="clear"/>
          </w:tcPr>
          <w:p>
            <w:r>
              <w:rPr>
                <w:sz w:val="18"/>
              </w:rPr>
              <w:t>Cyber Security Event Management</w:t>
            </w:r>
          </w:p>
        </w:tc>
        <w:tc>
          <w:tcPr>
            <w:tcW w:type="dxa" w:w="1134"/>
            <w:shd w:fill="F2F2F2" w:val="clear"/>
          </w:tcPr>
          <w:p>
            <w:r>
              <w:rPr>
                <w:sz w:val="18"/>
              </w:rPr>
              <w:t>3</w:t>
            </w:r>
          </w:p>
        </w:tc>
        <w:tc>
          <w:tcPr>
            <w:tcW w:type="dxa" w:w="850"/>
            <w:shd w:fill="F2F2F2" w:val="clear"/>
          </w:tcPr>
          <w:p>
            <w:r>
              <w:rPr>
                <w:sz w:val="18"/>
              </w:rPr>
              <w:t>3</w:t>
            </w:r>
          </w:p>
        </w:tc>
        <w:tc>
          <w:tcPr>
            <w:tcW w:type="dxa" w:w="850"/>
            <w:shd w:fill="F2F2F2" w:val="clear"/>
          </w:tcPr>
          <w:p>
            <w:r>
              <w:rPr>
                <w:sz w:val="18"/>
              </w:rPr>
              <w:t>0</w:t>
            </w:r>
          </w:p>
        </w:tc>
        <w:tc>
          <w:tcPr>
            <w:tcW w:type="dxa" w:w="850"/>
            <w:shd w:fill="F2F2F2" w:val="clear"/>
          </w:tcPr>
          <w:p>
            <w:r>
              <w:rPr>
                <w:sz w:val="18"/>
              </w:rPr>
              <w:t>0</w:t>
            </w:r>
          </w:p>
        </w:tc>
        <w:tc>
          <w:tcPr>
            <w:tcW w:type="dxa" w:w="850"/>
            <w:shd w:fill="F2F2F2" w:val="clear"/>
          </w:tcPr>
          <w:p>
            <w:r>
              <w:rPr>
                <w:sz w:val="18"/>
              </w:rPr>
              <w:t>0</w:t>
            </w:r>
          </w:p>
        </w:tc>
      </w:tr>
      <w:tr>
        <w:tc>
          <w:tcPr>
            <w:tcW w:type="dxa" w:w="737"/>
          </w:tcPr>
          <w:p>
            <w:r>
              <w:rPr>
                <w:sz w:val="18"/>
              </w:rPr>
              <w:t>18.0</w:t>
            </w:r>
          </w:p>
        </w:tc>
        <w:tc>
          <w:tcPr>
            <w:tcW w:type="dxa" w:w="2835"/>
          </w:tcPr>
          <w:p>
            <w:r>
              <w:rPr>
                <w:sz w:val="18"/>
              </w:rPr>
              <w:t>Cyber Security Incident Management</w:t>
            </w:r>
          </w:p>
        </w:tc>
        <w:tc>
          <w:tcPr>
            <w:tcW w:type="dxa" w:w="1134"/>
          </w:tcPr>
          <w:p>
            <w:r>
              <w:rPr>
                <w:sz w:val="18"/>
              </w:rPr>
              <w:t>6</w:t>
            </w:r>
          </w:p>
        </w:tc>
        <w:tc>
          <w:tcPr>
            <w:tcW w:type="dxa" w:w="850"/>
          </w:tcPr>
          <w:p>
            <w:r>
              <w:rPr>
                <w:sz w:val="18"/>
              </w:rPr>
              <w:t>2</w:t>
            </w:r>
          </w:p>
        </w:tc>
        <w:tc>
          <w:tcPr>
            <w:tcW w:type="dxa" w:w="850"/>
          </w:tcPr>
          <w:p>
            <w:r>
              <w:rPr>
                <w:sz w:val="18"/>
              </w:rPr>
              <w:t>1</w:t>
            </w:r>
          </w:p>
        </w:tc>
        <w:tc>
          <w:tcPr>
            <w:tcW w:type="dxa" w:w="850"/>
          </w:tcPr>
          <w:p>
            <w:r>
              <w:rPr>
                <w:sz w:val="18"/>
              </w:rPr>
              <w:t>3</w:t>
            </w:r>
          </w:p>
        </w:tc>
        <w:tc>
          <w:tcPr>
            <w:tcW w:type="dxa" w:w="850"/>
          </w:tcPr>
          <w:p>
            <w:r>
              <w:rPr>
                <w:sz w:val="18"/>
              </w:rPr>
              <w:t>0</w:t>
            </w:r>
          </w:p>
        </w:tc>
      </w:tr>
      <w:tr>
        <w:tc>
          <w:tcPr>
            <w:tcW w:type="dxa" w:w="737"/>
            <w:shd w:fill="F2F2F2" w:val="clear"/>
          </w:tcPr>
          <w:p>
            <w:r>
              <w:rPr>
                <w:sz w:val="18"/>
              </w:rPr>
              <w:t>19.0</w:t>
            </w:r>
          </w:p>
        </w:tc>
        <w:tc>
          <w:tcPr>
            <w:tcW w:type="dxa" w:w="2835"/>
            <w:shd w:fill="F2F2F2" w:val="clear"/>
          </w:tcPr>
          <w:p>
            <w:r>
              <w:rPr>
                <w:sz w:val="18"/>
              </w:rPr>
              <w:t>Business Continuity Management</w:t>
            </w:r>
          </w:p>
        </w:tc>
        <w:tc>
          <w:tcPr>
            <w:tcW w:type="dxa" w:w="1134"/>
            <w:shd w:fill="F2F2F2" w:val="clear"/>
          </w:tcPr>
          <w:p>
            <w:r>
              <w:rPr>
                <w:sz w:val="18"/>
              </w:rPr>
              <w:t>6</w:t>
            </w:r>
          </w:p>
        </w:tc>
        <w:tc>
          <w:tcPr>
            <w:tcW w:type="dxa" w:w="850"/>
            <w:shd w:fill="F2F2F2" w:val="clear"/>
          </w:tcPr>
          <w:p>
            <w:r>
              <w:rPr>
                <w:sz w:val="18"/>
              </w:rPr>
              <w:t>4</w:t>
            </w:r>
          </w:p>
        </w:tc>
        <w:tc>
          <w:tcPr>
            <w:tcW w:type="dxa" w:w="850"/>
            <w:shd w:fill="F2F2F2" w:val="clear"/>
          </w:tcPr>
          <w:p>
            <w:r>
              <w:rPr>
                <w:sz w:val="18"/>
              </w:rPr>
              <w:t>1</w:t>
            </w:r>
          </w:p>
        </w:tc>
        <w:tc>
          <w:tcPr>
            <w:tcW w:type="dxa" w:w="850"/>
            <w:shd w:fill="F2F2F2" w:val="clear"/>
          </w:tcPr>
          <w:p>
            <w:r>
              <w:rPr>
                <w:sz w:val="18"/>
              </w:rPr>
              <w:t>0</w:t>
            </w:r>
          </w:p>
        </w:tc>
        <w:tc>
          <w:tcPr>
            <w:tcW w:type="dxa" w:w="850"/>
            <w:shd w:fill="F2F2F2" w:val="clear"/>
          </w:tcPr>
          <w:p>
            <w:r>
              <w:rPr>
                <w:sz w:val="18"/>
              </w:rPr>
              <w:t>1</w:t>
            </w:r>
          </w:p>
        </w:tc>
      </w:tr>
      <w:tr>
        <w:tc>
          <w:tcPr>
            <w:tcW w:type="dxa" w:w="737"/>
          </w:tcPr>
          <w:p>
            <w:r>
              <w:rPr>
                <w:sz w:val="18"/>
              </w:rPr>
              <w:t>20.0</w:t>
            </w:r>
          </w:p>
        </w:tc>
        <w:tc>
          <w:tcPr>
            <w:tcW w:type="dxa" w:w="2835"/>
          </w:tcPr>
          <w:p>
            <w:r>
              <w:rPr>
                <w:sz w:val="18"/>
              </w:rPr>
              <w:t>Sector-Specific Requirements</w:t>
            </w:r>
          </w:p>
        </w:tc>
        <w:tc>
          <w:tcPr>
            <w:tcW w:type="dxa" w:w="1134"/>
          </w:tcPr>
          <w:p>
            <w:r>
              <w:rPr>
                <w:sz w:val="18"/>
              </w:rPr>
              <w:t>2</w:t>
            </w:r>
          </w:p>
        </w:tc>
        <w:tc>
          <w:tcPr>
            <w:tcW w:type="dxa" w:w="850"/>
          </w:tcPr>
          <w:p>
            <w:r>
              <w:rPr>
                <w:sz w:val="18"/>
              </w:rPr>
              <w:t>1</w:t>
            </w:r>
          </w:p>
        </w:tc>
        <w:tc>
          <w:tcPr>
            <w:tcW w:type="dxa" w:w="850"/>
          </w:tcPr>
          <w:p>
            <w:r>
              <w:rPr>
                <w:sz w:val="18"/>
              </w:rPr>
              <w:t>0</w:t>
            </w:r>
          </w:p>
        </w:tc>
        <w:tc>
          <w:tcPr>
            <w:tcW w:type="dxa" w:w="850"/>
          </w:tcPr>
          <w:p>
            <w:r>
              <w:rPr>
                <w:sz w:val="18"/>
              </w:rPr>
              <w:t>0</w:t>
            </w:r>
          </w:p>
        </w:tc>
        <w:tc>
          <w:tcPr>
            <w:tcW w:type="dxa" w:w="850"/>
          </w:tcPr>
          <w:p>
            <w:r>
              <w:rPr>
                <w:sz w:val="18"/>
              </w:rPr>
              <w:t>1</w:t>
            </w:r>
          </w:p>
        </w:tc>
      </w:tr>
      <w:tr>
        <w:tc>
          <w:tcPr>
            <w:tcW w:type="dxa" w:w="737"/>
            <w:shd w:fill="F2F2F2" w:val="clear"/>
          </w:tcPr>
          <w:p>
            <w:r>
              <w:rPr>
                <w:sz w:val="18"/>
              </w:rPr>
              <w:t>21.0</w:t>
            </w:r>
          </w:p>
        </w:tc>
        <w:tc>
          <w:tcPr>
            <w:tcW w:type="dxa" w:w="2835"/>
            <w:shd w:fill="F2F2F2" w:val="clear"/>
          </w:tcPr>
          <w:p>
            <w:r>
              <w:rPr>
                <w:sz w:val="18"/>
              </w:rPr>
              <w:t>Monitoring and Compliance</w:t>
            </w:r>
          </w:p>
        </w:tc>
        <w:tc>
          <w:tcPr>
            <w:tcW w:type="dxa" w:w="1134"/>
            <w:shd w:fill="F2F2F2" w:val="clear"/>
          </w:tcPr>
          <w:p>
            <w:r>
              <w:rPr>
                <w:sz w:val="18"/>
              </w:rPr>
              <w:t>0</w:t>
            </w:r>
          </w:p>
        </w:tc>
        <w:tc>
          <w:tcPr>
            <w:tcW w:type="dxa" w:w="850"/>
            <w:shd w:fill="F2F2F2" w:val="clear"/>
          </w:tcPr>
          <w:p>
            <w:r>
              <w:rPr>
                <w:sz w:val="18"/>
              </w:rPr>
              <w:t>—</w:t>
            </w:r>
          </w:p>
        </w:tc>
        <w:tc>
          <w:tcPr>
            <w:tcW w:type="dxa" w:w="850"/>
            <w:shd w:fill="F2F2F2" w:val="clear"/>
          </w:tcPr>
          <w:p>
            <w:r>
              <w:rPr>
                <w:sz w:val="18"/>
              </w:rPr>
              <w:t>—</w:t>
            </w:r>
          </w:p>
        </w:tc>
        <w:tc>
          <w:tcPr>
            <w:tcW w:type="dxa" w:w="850"/>
            <w:shd w:fill="F2F2F2" w:val="clear"/>
          </w:tcPr>
          <w:p>
            <w:r>
              <w:rPr>
                <w:sz w:val="18"/>
              </w:rPr>
              <w:t>—</w:t>
            </w:r>
          </w:p>
        </w:tc>
        <w:tc>
          <w:tcPr>
            <w:tcW w:type="dxa" w:w="850"/>
            <w:shd w:fill="F2F2F2" w:val="clear"/>
          </w:tcPr>
          <w:p>
            <w:r>
              <w:rPr>
                <w:sz w:val="18"/>
              </w:rPr>
              <w:t>—</w:t>
            </w:r>
          </w:p>
        </w:tc>
      </w:tr>
      <w:tr>
        <w:tc>
          <w:tcPr>
            <w:tcW w:type="dxa" w:w="737"/>
          </w:tcPr>
          <w:p>
            <w:r>
              <w:rPr>
                <w:sz w:val="18"/>
              </w:rPr>
            </w:r>
          </w:p>
        </w:tc>
        <w:tc>
          <w:tcPr>
            <w:tcW w:type="dxa" w:w="2835"/>
          </w:tcPr>
          <w:p>
            <w:r>
              <w:rPr>
                <w:sz w:val="18"/>
              </w:rPr>
              <w:t>JUMLAH / TOTAL</w:t>
            </w:r>
          </w:p>
        </w:tc>
        <w:tc>
          <w:tcPr>
            <w:tcW w:type="dxa" w:w="1134"/>
          </w:tcPr>
          <w:p>
            <w:r>
              <w:rPr>
                <w:sz w:val="18"/>
              </w:rPr>
              <w:t>210</w:t>
            </w:r>
          </w:p>
        </w:tc>
        <w:tc>
          <w:tcPr>
            <w:tcW w:type="dxa" w:w="850"/>
          </w:tcPr>
          <w:p>
            <w:r>
              <w:rPr>
                <w:sz w:val="18"/>
              </w:rPr>
              <w:t>167</w:t>
            </w:r>
          </w:p>
        </w:tc>
        <w:tc>
          <w:tcPr>
            <w:tcW w:type="dxa" w:w="850"/>
          </w:tcPr>
          <w:p>
            <w:r>
              <w:rPr>
                <w:sz w:val="18"/>
              </w:rPr>
              <w:t>26</w:t>
            </w:r>
          </w:p>
        </w:tc>
        <w:tc>
          <w:tcPr>
            <w:tcW w:type="dxa" w:w="850"/>
          </w:tcPr>
          <w:p>
            <w:r>
              <w:rPr>
                <w:sz w:val="18"/>
              </w:rPr>
              <w:t>15</w:t>
            </w:r>
          </w:p>
        </w:tc>
        <w:tc>
          <w:tcPr>
            <w:tcW w:type="dxa" w:w="850"/>
          </w:tcPr>
          <w:p>
            <w:r>
              <w:rPr>
                <w:sz w:val="18"/>
              </w:rPr>
              <w:t>2</w:t>
            </w:r>
          </w:p>
        </w:tc>
      </w:tr>
    </w:tbl>
    <w:p>
      <w:r>
        <w:br w:type="page"/>
      </w:r>
    </w:p>
    <w:p>
      <w:pPr>
        <w:pStyle w:val="Heading1"/>
      </w:pPr>
      <w:r>
        <w:t>9. Ringkasan Penemuan / Finding Summary</w:t>
      </w:r>
    </w:p>
    <w:p>
      <w:pPr>
        <w:pStyle w:val="Heading2"/>
      </w:pPr>
      <w:r>
        <w:t>9.1 Daftar Penemuan / Finding Register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17"/>
            <w:shd w:fill="1F4E79" w:val="clear"/>
          </w:tcPr>
          <w:p>
            <w:pPr/>
            <w:r>
              <w:rPr>
                <w:b/>
                <w:color w:val="FFFFFF"/>
                <w:sz w:val="18"/>
              </w:rPr>
              <w:t>ID</w:t>
            </w:r>
          </w:p>
        </w:tc>
        <w:tc>
          <w:tcPr>
            <w:tcW w:type="dxa" w:w="2268"/>
            <w:shd w:fill="1F4E79" w:val="clear"/>
          </w:tcPr>
          <w:p>
            <w:pPr/>
            <w:r>
              <w:rPr>
                <w:b/>
                <w:color w:val="FFFFFF"/>
                <w:sz w:val="18"/>
              </w:rPr>
              <w:t>Tajuk / Title</w:t>
            </w:r>
          </w:p>
        </w:tc>
        <w:tc>
          <w:tcPr>
            <w:tcW w:type="dxa" w:w="1417"/>
            <w:shd w:fill="1F4E79" w:val="clear"/>
          </w:tcPr>
          <w:p>
            <w:pPr/>
            <w:r>
              <w:rPr>
                <w:b/>
                <w:color w:val="FFFFFF"/>
                <w:sz w:val="18"/>
              </w:rPr>
              <w:t>Klausa / Clause</w:t>
            </w:r>
          </w:p>
        </w:tc>
        <w:tc>
          <w:tcPr>
            <w:tcW w:type="dxa" w:w="850"/>
            <w:shd w:fill="1F4E79" w:val="clear"/>
          </w:tcPr>
          <w:p>
            <w:pPr/>
            <w:r>
              <w:rPr>
                <w:b/>
                <w:color w:val="FFFFFF"/>
                <w:sz w:val="18"/>
              </w:rPr>
              <w:t>Keterukan / Severity</w:t>
            </w:r>
          </w:p>
        </w:tc>
        <w:tc>
          <w:tcPr>
            <w:tcW w:type="dxa" w:w="850"/>
            <w:shd w:fill="1F4E79" w:val="clear"/>
          </w:tcPr>
          <w:p>
            <w:pPr/>
            <w:r>
              <w:rPr>
                <w:b/>
                <w:color w:val="FFFFFF"/>
                <w:sz w:val="18"/>
              </w:rPr>
              <w:t>Status</w:t>
            </w:r>
          </w:p>
        </w:tc>
        <w:tc>
          <w:tcPr>
            <w:tcW w:type="dxa" w:w="1417"/>
            <w:shd w:fill="1F4E79" w:val="clear"/>
          </w:tcPr>
          <w:p>
            <w:pPr/>
            <w:r>
              <w:rPr>
                <w:b/>
                <w:color w:val="FFFFFF"/>
                <w:sz w:val="18"/>
              </w:rPr>
              <w:t>Tarikh Sasaran / Target</w:t>
            </w:r>
          </w:p>
        </w:tc>
      </w:tr>
      <w:tr>
        <w:tc>
          <w:tcPr>
            <w:tcW w:type="dxa" w:w="1417"/>
          </w:tcPr>
          <w:p>
            <w:r>
              <w:rPr>
                <w:sz w:val="18"/>
              </w:rPr>
              <w:t>CoP-2026-001</w:t>
            </w:r>
          </w:p>
        </w:tc>
        <w:tc>
          <w:tcPr>
            <w:tcW w:type="dxa" w:w="2268"/>
          </w:tcPr>
          <w:p>
            <w:r>
              <w:rPr>
                <w:sz w:val="18"/>
              </w:rPr>
              <w:t>CSIRT Not Established</w:t>
            </w:r>
          </w:p>
        </w:tc>
        <w:tc>
          <w:tcPr>
            <w:tcW w:type="dxa" w:w="1417"/>
          </w:tcPr>
          <w:p>
            <w:r>
              <w:rPr>
                <w:sz w:val="18"/>
              </w:rPr>
              <w:t>CoP 18.1.1.1</w:t>
            </w:r>
          </w:p>
        </w:tc>
        <w:tc>
          <w:tcPr>
            <w:tcW w:type="dxa" w:w="850"/>
          </w:tcPr>
          <w:p>
            <w:r>
              <w:rPr>
                <w:sz w:val="18"/>
              </w:rPr>
              <w:t>Kritikal</w:t>
            </w:r>
          </w:p>
        </w:tc>
        <w:tc>
          <w:tcPr>
            <w:tcW w:type="dxa" w:w="850"/>
          </w:tcPr>
          <w:p>
            <w:r>
              <w:rPr>
                <w:sz w:val="18"/>
              </w:rPr>
              <w:t>Open</w:t>
            </w:r>
          </w:p>
        </w:tc>
        <w:tc>
          <w:tcPr>
            <w:tcW w:type="dxa" w:w="1417"/>
          </w:tcPr>
          <w:p>
            <w:r>
              <w:rPr>
                <w:sz w:val="18"/>
              </w:rPr>
              <w:t>26/03/2026</w:t>
            </w:r>
          </w:p>
        </w:tc>
      </w:tr>
      <w:tr>
        <w:tc>
          <w:tcPr>
            <w:tcW w:type="dxa" w:w="1417"/>
            <w:shd w:fill="F2F2F2" w:val="clear"/>
          </w:tcPr>
          <w:p>
            <w:r>
              <w:rPr>
                <w:sz w:val="18"/>
              </w:rPr>
              <w:t>CoP-2026-002</w:t>
            </w:r>
          </w:p>
        </w:tc>
        <w:tc>
          <w:tcPr>
            <w:tcW w:type="dxa" w:w="2268"/>
            <w:shd w:fill="F2F2F2" w:val="clear"/>
          </w:tcPr>
          <w:p>
            <w:r>
              <w:rPr>
                <w:sz w:val="18"/>
              </w:rPr>
              <w:t>Risk Assessment Submission Overdue</w:t>
            </w:r>
          </w:p>
        </w:tc>
        <w:tc>
          <w:tcPr>
            <w:tcW w:type="dxa" w:w="1417"/>
            <w:shd w:fill="F2F2F2" w:val="clear"/>
          </w:tcPr>
          <w:p>
            <w:r>
              <w:rPr>
                <w:sz w:val="18"/>
              </w:rPr>
              <w:t>CoP 9.1.4.2</w:t>
            </w:r>
          </w:p>
        </w:tc>
        <w:tc>
          <w:tcPr>
            <w:tcW w:type="dxa" w:w="850"/>
            <w:shd w:fill="F2F2F2" w:val="clear"/>
          </w:tcPr>
          <w:p>
            <w:r>
              <w:rPr>
                <w:sz w:val="18"/>
              </w:rPr>
              <w:t>Tinggi</w:t>
            </w:r>
          </w:p>
        </w:tc>
        <w:tc>
          <w:tcPr>
            <w:tcW w:type="dxa" w:w="850"/>
            <w:shd w:fill="F2F2F2" w:val="clear"/>
          </w:tcPr>
          <w:p>
            <w:r>
              <w:rPr>
                <w:sz w:val="18"/>
              </w:rPr>
              <w:t>Open</w:t>
            </w:r>
          </w:p>
        </w:tc>
        <w:tc>
          <w:tcPr>
            <w:tcW w:type="dxa" w:w="1417"/>
            <w:shd w:fill="F2F2F2" w:val="clear"/>
          </w:tcPr>
          <w:p>
            <w:r>
              <w:rPr>
                <w:sz w:val="18"/>
              </w:rPr>
              <w:t>03/03/2026</w:t>
            </w:r>
          </w:p>
        </w:tc>
      </w:tr>
      <w:tr>
        <w:tc>
          <w:tcPr>
            <w:tcW w:type="dxa" w:w="1417"/>
          </w:tcPr>
          <w:p>
            <w:r>
              <w:rPr>
                <w:sz w:val="18"/>
              </w:rPr>
              <w:t>CoP-2026-003</w:t>
            </w:r>
          </w:p>
        </w:tc>
        <w:tc>
          <w:tcPr>
            <w:tcW w:type="dxa" w:w="2268"/>
          </w:tcPr>
          <w:p>
            <w:r>
              <w:rPr>
                <w:sz w:val="18"/>
              </w:rPr>
              <w:t>SCADA Firewall Rules Stale</w:t>
            </w:r>
          </w:p>
        </w:tc>
        <w:tc>
          <w:tcPr>
            <w:tcW w:type="dxa" w:w="1417"/>
          </w:tcPr>
          <w:p>
            <w:r>
              <w:rPr>
                <w:sz w:val="18"/>
              </w:rPr>
              <w:t>CoP 14.3.4.1</w:t>
            </w:r>
          </w:p>
        </w:tc>
        <w:tc>
          <w:tcPr>
            <w:tcW w:type="dxa" w:w="850"/>
          </w:tcPr>
          <w:p>
            <w:r>
              <w:rPr>
                <w:sz w:val="18"/>
              </w:rPr>
              <w:t>Tinggi</w:t>
            </w:r>
          </w:p>
        </w:tc>
        <w:tc>
          <w:tcPr>
            <w:tcW w:type="dxa" w:w="850"/>
          </w:tcPr>
          <w:p>
            <w:r>
              <w:rPr>
                <w:sz w:val="18"/>
              </w:rPr>
              <w:t>Open</w:t>
            </w:r>
          </w:p>
        </w:tc>
        <w:tc>
          <w:tcPr>
            <w:tcW w:type="dxa" w:w="1417"/>
          </w:tcPr>
          <w:p>
            <w:r>
              <w:rPr>
                <w:sz w:val="18"/>
              </w:rPr>
              <w:t>26/05/2026</w:t>
            </w:r>
          </w:p>
        </w:tc>
      </w:tr>
      <w:tr>
        <w:tc>
          <w:tcPr>
            <w:tcW w:type="dxa" w:w="1417"/>
            <w:shd w:fill="F2F2F2" w:val="clear"/>
          </w:tcPr>
          <w:p>
            <w:r>
              <w:rPr>
                <w:sz w:val="18"/>
              </w:rPr>
              <w:t>CoP-2026-004</w:t>
            </w:r>
          </w:p>
        </w:tc>
        <w:tc>
          <w:tcPr>
            <w:tcW w:type="dxa" w:w="2268"/>
            <w:shd w:fill="F2F2F2" w:val="clear"/>
          </w:tcPr>
          <w:p>
            <w:r>
              <w:rPr>
                <w:sz w:val="18"/>
              </w:rPr>
              <w:t>Vulnerability Scanning Gap</w:t>
            </w:r>
          </w:p>
        </w:tc>
        <w:tc>
          <w:tcPr>
            <w:tcW w:type="dxa" w:w="1417"/>
            <w:shd w:fill="F2F2F2" w:val="clear"/>
          </w:tcPr>
          <w:p>
            <w:r>
              <w:rPr>
                <w:sz w:val="18"/>
              </w:rPr>
              <w:t>CoP 16.2.1.1</w:t>
            </w:r>
          </w:p>
        </w:tc>
        <w:tc>
          <w:tcPr>
            <w:tcW w:type="dxa" w:w="850"/>
            <w:shd w:fill="F2F2F2" w:val="clear"/>
          </w:tcPr>
          <w:p>
            <w:r>
              <w:rPr>
                <w:sz w:val="18"/>
              </w:rPr>
              <w:t>Sederhana</w:t>
            </w:r>
          </w:p>
        </w:tc>
        <w:tc>
          <w:tcPr>
            <w:tcW w:type="dxa" w:w="850"/>
            <w:shd w:fill="F2F2F2" w:val="clear"/>
          </w:tcPr>
          <w:p>
            <w:r>
              <w:rPr>
                <w:sz w:val="18"/>
              </w:rPr>
              <w:t>Open</w:t>
            </w:r>
          </w:p>
        </w:tc>
        <w:tc>
          <w:tcPr>
            <w:tcW w:type="dxa" w:w="1417"/>
            <w:shd w:fill="F2F2F2" w:val="clear"/>
          </w:tcPr>
          <w:p>
            <w:r>
              <w:rPr>
                <w:sz w:val="18"/>
              </w:rPr>
              <w:t>26/08/2026</w:t>
            </w:r>
          </w:p>
        </w:tc>
      </w:tr>
      <w:tr>
        <w:tc>
          <w:tcPr>
            <w:tcW w:type="dxa" w:w="1417"/>
          </w:tcPr>
          <w:p>
            <w:r>
              <w:rPr>
                <w:sz w:val="18"/>
              </w:rPr>
              <w:t>CoP-2026-005</w:t>
            </w:r>
          </w:p>
        </w:tc>
        <w:tc>
          <w:tcPr>
            <w:tcW w:type="dxa" w:w="2268"/>
          </w:tcPr>
          <w:p>
            <w:r>
              <w:rPr>
                <w:sz w:val="18"/>
              </w:rPr>
              <w:t>DLP Gap on SCADA</w:t>
            </w:r>
          </w:p>
        </w:tc>
        <w:tc>
          <w:tcPr>
            <w:tcW w:type="dxa" w:w="1417"/>
          </w:tcPr>
          <w:p>
            <w:r>
              <w:rPr>
                <w:sz w:val="18"/>
              </w:rPr>
              <w:t>CoP 11.1.1.1</w:t>
            </w:r>
          </w:p>
        </w:tc>
        <w:tc>
          <w:tcPr>
            <w:tcW w:type="dxa" w:w="850"/>
          </w:tcPr>
          <w:p>
            <w:r>
              <w:rPr>
                <w:sz w:val="18"/>
              </w:rPr>
              <w:t>Sederhana</w:t>
            </w:r>
          </w:p>
        </w:tc>
        <w:tc>
          <w:tcPr>
            <w:tcW w:type="dxa" w:w="850"/>
          </w:tcPr>
          <w:p>
            <w:r>
              <w:rPr>
                <w:sz w:val="18"/>
              </w:rPr>
              <w:t>Open</w:t>
            </w:r>
          </w:p>
        </w:tc>
        <w:tc>
          <w:tcPr>
            <w:tcW w:type="dxa" w:w="1417"/>
          </w:tcPr>
          <w:p>
            <w:r>
              <w:rPr>
                <w:sz w:val="18"/>
              </w:rPr>
              <w:t>26/08/2026</w:t>
            </w:r>
          </w:p>
        </w:tc>
      </w:tr>
      <w:tr>
        <w:tc>
          <w:tcPr>
            <w:tcW w:type="dxa" w:w="1417"/>
            <w:shd w:fill="F2F2F2" w:val="clear"/>
          </w:tcPr>
          <w:p>
            <w:r>
              <w:rPr>
                <w:sz w:val="18"/>
              </w:rPr>
              <w:t>CoP-2026-006</w:t>
            </w:r>
          </w:p>
        </w:tc>
        <w:tc>
          <w:tcPr>
            <w:tcW w:type="dxa" w:w="2268"/>
            <w:shd w:fill="F2F2F2" w:val="clear"/>
          </w:tcPr>
          <w:p>
            <w:r>
              <w:rPr>
                <w:sz w:val="18"/>
              </w:rPr>
              <w:t>Physical Security Review Overdue</w:t>
            </w:r>
          </w:p>
        </w:tc>
        <w:tc>
          <w:tcPr>
            <w:tcW w:type="dxa" w:w="1417"/>
            <w:shd w:fill="F2F2F2" w:val="clear"/>
          </w:tcPr>
          <w:p>
            <w:r>
              <w:rPr>
                <w:sz w:val="18"/>
              </w:rPr>
              <w:t>CoP 13.1.5.1</w:t>
            </w:r>
          </w:p>
        </w:tc>
        <w:tc>
          <w:tcPr>
            <w:tcW w:type="dxa" w:w="850"/>
            <w:shd w:fill="F2F2F2" w:val="clear"/>
          </w:tcPr>
          <w:p>
            <w:r>
              <w:rPr>
                <w:sz w:val="18"/>
              </w:rPr>
              <w:t>Rendah</w:t>
            </w:r>
          </w:p>
        </w:tc>
        <w:tc>
          <w:tcPr>
            <w:tcW w:type="dxa" w:w="850"/>
            <w:shd w:fill="F2F2F2" w:val="clear"/>
          </w:tcPr>
          <w:p>
            <w:r>
              <w:rPr>
                <w:sz w:val="18"/>
              </w:rPr>
              <w:t>Open</w:t>
            </w:r>
          </w:p>
        </w:tc>
        <w:tc>
          <w:tcPr>
            <w:tcW w:type="dxa" w:w="1417"/>
            <w:shd w:fill="F2F2F2" w:val="clear"/>
          </w:tcPr>
          <w:p>
            <w:r>
              <w:rPr>
                <w:sz w:val="18"/>
              </w:rPr>
              <w:t>26/03/2026</w:t>
            </w:r>
          </w:p>
        </w:tc>
      </w:tr>
      <w:tr>
        <w:tc>
          <w:tcPr>
            <w:tcW w:type="dxa" w:w="1417"/>
          </w:tcPr>
          <w:p>
            <w:r>
              <w:rPr>
                <w:sz w:val="18"/>
              </w:rPr>
              <w:t>DIR-2026-001</w:t>
            </w:r>
          </w:p>
        </w:tc>
        <w:tc>
          <w:tcPr>
            <w:tcW w:type="dxa" w:w="2268"/>
          </w:tcPr>
          <w:p>
            <w:r>
              <w:rPr>
                <w:sz w:val="18"/>
              </w:rPr>
              <w:t>Authorised Persons Not Registered</w:t>
            </w:r>
          </w:p>
        </w:tc>
        <w:tc>
          <w:tcPr>
            <w:tcW w:type="dxa" w:w="1417"/>
          </w:tcPr>
          <w:p>
            <w:r>
              <w:rPr>
                <w:sz w:val="18"/>
              </w:rPr>
              <w:t>Directive 02</w:t>
            </w:r>
          </w:p>
        </w:tc>
        <w:tc>
          <w:tcPr>
            <w:tcW w:type="dxa" w:w="850"/>
          </w:tcPr>
          <w:p>
            <w:r>
              <w:rPr>
                <w:sz w:val="18"/>
              </w:rPr>
              <w:t>Kritikal</w:t>
            </w:r>
          </w:p>
        </w:tc>
        <w:tc>
          <w:tcPr>
            <w:tcW w:type="dxa" w:w="850"/>
          </w:tcPr>
          <w:p>
            <w:r>
              <w:rPr>
                <w:sz w:val="18"/>
              </w:rPr>
              <w:t>Open</w:t>
            </w:r>
          </w:p>
        </w:tc>
        <w:tc>
          <w:tcPr>
            <w:tcW w:type="dxa" w:w="1417"/>
          </w:tcPr>
          <w:p>
            <w:r>
              <w:rPr>
                <w:sz w:val="18"/>
              </w:rPr>
              <w:t>26/03/2026</w:t>
            </w:r>
          </w:p>
        </w:tc>
      </w:tr>
    </w:tbl>
    <w:p>
      <w:r>
        <w:br w:type="page"/>
      </w:r>
    </w:p>
    <w:p>
      <w:pPr>
        <w:pStyle w:val="Heading1"/>
      </w:pPr>
      <w:r>
        <w:t>10. Peluang Penambahbaikan / Improvement Opportunities (Tier 2)</w:t>
      </w:r>
    </w:p>
    <w:p>
      <w:r>
        <w:t>CE Directive 08 para 23(i) requires improvement opportunities in the report. These are from Tier 2 (SHOULD/MAY) requirements. They carry NO severity rating, create NO remediation obligation, and are NOT counted as findings.</w:t>
      </w:r>
    </w:p>
    <w:p>
      <w:pPr>
        <w:pStyle w:val="Heading3"/>
      </w:pPr>
      <w:r>
        <w:t>IO-001: Mekanisme Pemantauan Pematuhan Objektif / Compliance Monitoring Mechanism</w:t>
      </w:r>
    </w:p>
    <w:tbl>
      <w:tblPr>
        <w:tblStyle w:val="TableGrid"/>
        <w:tblW w:type="auto" w:w="0"/>
        <w:jc w:val="center"/>
        <w:tblLook w:firstColumn="1" w:firstRow="1" w:lastColumn="0" w:lastRow="0" w:noHBand="0" w:noVBand="1" w:val="04A0"/>
      </w:tblPr>
      <w:tblGrid>
        <w:gridCol w:w="4320"/>
        <w:gridCol w:w="4320"/>
      </w:tblGrid>
      <w:tr>
        <w:tc>
          <w:tcPr>
            <w:tcW w:type="dxa" w:w="2835"/>
            <w:shd w:fill="D6E4F0" w:val="clear"/>
          </w:tcPr>
          <w:p>
            <w:r>
              <w:rPr>
                <w:b/>
                <w:sz w:val="18"/>
              </w:rPr>
              <w:t>Rujukan Klausa / Clause Reference</w:t>
            </w:r>
          </w:p>
        </w:tc>
        <w:tc>
          <w:tcPr>
            <w:tcW w:type="dxa" w:w="6236"/>
          </w:tcPr>
          <w:p>
            <w:r>
              <w:rPr>
                <w:sz w:val="18"/>
              </w:rPr>
              <w:t>CoP 5.2.3.2 — "The NCII entity should have a monitoring mechanism to validate compliance with the objectives." (SHOULD clause)</w:t>
            </w:r>
          </w:p>
        </w:tc>
      </w:tr>
      <w:tr>
        <w:tc>
          <w:tcPr>
            <w:tcW w:type="dxa" w:w="2835"/>
            <w:shd w:fill="D6E4F0" w:val="clear"/>
          </w:tcPr>
          <w:p>
            <w:r>
              <w:rPr>
                <w:b/>
                <w:sz w:val="18"/>
              </w:rPr>
              <w:t>Tahap Obligasi / Obligation Level</w:t>
            </w:r>
          </w:p>
        </w:tc>
        <w:tc>
          <w:tcPr>
            <w:tcW w:type="dxa" w:w="6236"/>
          </w:tcPr>
          <w:p>
            <w:r>
              <w:rPr>
                <w:sz w:val="18"/>
              </w:rPr>
              <w:t>SHOULD (Tier 2)</w:t>
            </w:r>
          </w:p>
        </w:tc>
      </w:tr>
      <w:tr>
        <w:tc>
          <w:tcPr>
            <w:tcW w:type="dxa" w:w="2835"/>
            <w:shd w:fill="D6E4F0" w:val="clear"/>
          </w:tcPr>
          <w:p>
            <w:r>
              <w:rPr>
                <w:b/>
                <w:sz w:val="18"/>
              </w:rPr>
              <w:t>Pemerhatian / Observation</w:t>
            </w:r>
          </w:p>
        </w:tc>
        <w:tc>
          <w:tcPr>
            <w:tcW w:type="dxa" w:w="6236"/>
          </w:tcPr>
          <w:p>
            <w:r>
              <w:rPr>
                <w:sz w:val="18"/>
              </w:rPr>
              <w:t>STS has defined cyber security objectives (CoP 5.2.1) and communicates them to stakeholders (CoP 5.2.2). However, there is no structured monitoring mechanism to track whether objectives are being achieved. Progress is tracked informally through monthly CISO reports to the Board but there is no dashboard, KPI tracking, or automated compliance monitoring tool.</w:t>
            </w:r>
          </w:p>
        </w:tc>
      </w:tr>
      <w:tr>
        <w:tc>
          <w:tcPr>
            <w:tcW w:type="dxa" w:w="2835"/>
            <w:shd w:fill="D6E4F0" w:val="clear"/>
          </w:tcPr>
          <w:p>
            <w:r>
              <w:rPr>
                <w:b/>
                <w:sz w:val="18"/>
              </w:rPr>
              <w:t>Cadangan / Recommendation</w:t>
            </w:r>
          </w:p>
        </w:tc>
        <w:tc>
          <w:tcPr>
            <w:tcW w:type="dxa" w:w="6236"/>
          </w:tcPr>
          <w:p>
            <w:r>
              <w:rPr>
                <w:sz w:val="18"/>
              </w:rPr>
              <w:t>Implement a cyber security objectives dashboard with measurable KPIs (e.g., patch compliance rate, MTTD, MTTR, awareness training completion rate). Integrate with the quarterly Board reporting cycle.</w:t>
            </w:r>
          </w:p>
        </w:tc>
      </w:tr>
    </w:tbl>
    <w:p/>
    <w:p>
      <w:pPr>
        <w:pStyle w:val="Heading3"/>
      </w:pPr>
      <w:r>
        <w:t>IO-002: Pelan Komunikasi Polisi / Policy Communication Plan</w:t>
      </w:r>
    </w:p>
    <w:tbl>
      <w:tblPr>
        <w:tblStyle w:val="TableGrid"/>
        <w:tblW w:type="auto" w:w="0"/>
        <w:jc w:val="center"/>
        <w:tblLook w:firstColumn="1" w:firstRow="1" w:lastColumn="0" w:lastRow="0" w:noHBand="0" w:noVBand="1" w:val="04A0"/>
      </w:tblPr>
      <w:tblGrid>
        <w:gridCol w:w="4320"/>
        <w:gridCol w:w="4320"/>
      </w:tblGrid>
      <w:tr>
        <w:tc>
          <w:tcPr>
            <w:tcW w:type="dxa" w:w="2835"/>
            <w:shd w:fill="D6E4F0" w:val="clear"/>
          </w:tcPr>
          <w:p>
            <w:r>
              <w:rPr>
                <w:b/>
                <w:sz w:val="18"/>
              </w:rPr>
              <w:t>Rujukan Klausa / Clause Reference</w:t>
            </w:r>
          </w:p>
        </w:tc>
        <w:tc>
          <w:tcPr>
            <w:tcW w:type="dxa" w:w="6236"/>
          </w:tcPr>
          <w:p>
            <w:r>
              <w:rPr>
                <w:sz w:val="18"/>
              </w:rPr>
              <w:t>CoP 5.1.5.2 — "A communication plan may be established to ensure the Cyber Security Policy is disseminated, understood, and enforced across all levels of the organisation." (MAY clause)</w:t>
            </w:r>
          </w:p>
        </w:tc>
      </w:tr>
      <w:tr>
        <w:tc>
          <w:tcPr>
            <w:tcW w:type="dxa" w:w="2835"/>
            <w:shd w:fill="D6E4F0" w:val="clear"/>
          </w:tcPr>
          <w:p>
            <w:r>
              <w:rPr>
                <w:b/>
                <w:sz w:val="18"/>
              </w:rPr>
              <w:t>Tahap Obligasi / Obligation Level</w:t>
            </w:r>
          </w:p>
        </w:tc>
        <w:tc>
          <w:tcPr>
            <w:tcW w:type="dxa" w:w="6236"/>
          </w:tcPr>
          <w:p>
            <w:r>
              <w:rPr>
                <w:sz w:val="18"/>
              </w:rPr>
              <w:t>MAY (Tier 2)</w:t>
            </w:r>
          </w:p>
        </w:tc>
      </w:tr>
      <w:tr>
        <w:tc>
          <w:tcPr>
            <w:tcW w:type="dxa" w:w="2835"/>
            <w:shd w:fill="D6E4F0" w:val="clear"/>
          </w:tcPr>
          <w:p>
            <w:r>
              <w:rPr>
                <w:b/>
                <w:sz w:val="18"/>
              </w:rPr>
              <w:t>Pemerhatian / Observation</w:t>
            </w:r>
          </w:p>
        </w:tc>
        <w:tc>
          <w:tcPr>
            <w:tcW w:type="dxa" w:w="6236"/>
          </w:tcPr>
          <w:p>
            <w:r>
              <w:rPr>
                <w:sz w:val="18"/>
              </w:rPr>
              <w:t>The cyber security policy is communicated through intranet and annual awareness training. However, no formal communication plan exists to ensure systematic dissemination to all personnel, including contractors and third-party staff who access NCII systems.</w:t>
            </w:r>
          </w:p>
        </w:tc>
      </w:tr>
      <w:tr>
        <w:tc>
          <w:tcPr>
            <w:tcW w:type="dxa" w:w="2835"/>
            <w:shd w:fill="D6E4F0" w:val="clear"/>
          </w:tcPr>
          <w:p>
            <w:r>
              <w:rPr>
                <w:b/>
                <w:sz w:val="18"/>
              </w:rPr>
              <w:t>Cadangan / Recommendation</w:t>
            </w:r>
          </w:p>
        </w:tc>
        <w:tc>
          <w:tcPr>
            <w:tcW w:type="dxa" w:w="6236"/>
          </w:tcPr>
          <w:p>
            <w:r>
              <w:rPr>
                <w:sz w:val="18"/>
              </w:rPr>
              <w:t>Develop a formal communication plan for the cyber security policy covering all personnel categories (permanent staff, contractors, third-party maintenance). Include acknowledgement tracking.</w:t>
            </w:r>
          </w:p>
        </w:tc>
      </w:tr>
    </w:tbl>
    <w:p/>
    <w:p>
      <w:pPr>
        <w:pStyle w:val="Heading3"/>
      </w:pPr>
      <w:r>
        <w:t>IO-003: Proses Semakan Polisi Berstruktur / Structured Policy Review Process</w:t>
      </w:r>
    </w:p>
    <w:tbl>
      <w:tblPr>
        <w:tblStyle w:val="TableGrid"/>
        <w:tblW w:type="auto" w:w="0"/>
        <w:jc w:val="center"/>
        <w:tblLook w:firstColumn="1" w:firstRow="1" w:lastColumn="0" w:lastRow="0" w:noHBand="0" w:noVBand="1" w:val="04A0"/>
      </w:tblPr>
      <w:tblGrid>
        <w:gridCol w:w="4320"/>
        <w:gridCol w:w="4320"/>
      </w:tblGrid>
      <w:tr>
        <w:tc>
          <w:tcPr>
            <w:tcW w:type="dxa" w:w="2835"/>
            <w:shd w:fill="D6E4F0" w:val="clear"/>
          </w:tcPr>
          <w:p>
            <w:r>
              <w:rPr>
                <w:b/>
                <w:sz w:val="18"/>
              </w:rPr>
              <w:t>Rujukan Klausa / Clause Reference</w:t>
            </w:r>
          </w:p>
        </w:tc>
        <w:tc>
          <w:tcPr>
            <w:tcW w:type="dxa" w:w="6236"/>
          </w:tcPr>
          <w:p>
            <w:r>
              <w:rPr>
                <w:sz w:val="18"/>
              </w:rPr>
              <w:t>CoP 5.1.4.2 — "A structured policy review process may include... version control and change management procedures." (MAY clause)</w:t>
            </w:r>
          </w:p>
        </w:tc>
      </w:tr>
      <w:tr>
        <w:tc>
          <w:tcPr>
            <w:tcW w:type="dxa" w:w="2835"/>
            <w:shd w:fill="D6E4F0" w:val="clear"/>
          </w:tcPr>
          <w:p>
            <w:r>
              <w:rPr>
                <w:b/>
                <w:sz w:val="18"/>
              </w:rPr>
              <w:t>Tahap Obligasi / Obligation Level</w:t>
            </w:r>
          </w:p>
        </w:tc>
        <w:tc>
          <w:tcPr>
            <w:tcW w:type="dxa" w:w="6236"/>
          </w:tcPr>
          <w:p>
            <w:r>
              <w:rPr>
                <w:sz w:val="18"/>
              </w:rPr>
              <w:t>MAY (Tier 2)</w:t>
            </w:r>
          </w:p>
        </w:tc>
      </w:tr>
      <w:tr>
        <w:tc>
          <w:tcPr>
            <w:tcW w:type="dxa" w:w="2835"/>
            <w:shd w:fill="D6E4F0" w:val="clear"/>
          </w:tcPr>
          <w:p>
            <w:r>
              <w:rPr>
                <w:b/>
                <w:sz w:val="18"/>
              </w:rPr>
              <w:t>Pemerhatian / Observation</w:t>
            </w:r>
          </w:p>
        </w:tc>
        <w:tc>
          <w:tcPr>
            <w:tcW w:type="dxa" w:w="6236"/>
          </w:tcPr>
          <w:p>
            <w:r>
              <w:rPr>
                <w:sz w:val="18"/>
              </w:rPr>
              <w:t>Policy reviews are conducted but the review process is informal — there is no documented review checklist, no formal sign-off by review participants, and version control relies on filename conventions rather than a document management system.</w:t>
            </w:r>
          </w:p>
        </w:tc>
      </w:tr>
      <w:tr>
        <w:tc>
          <w:tcPr>
            <w:tcW w:type="dxa" w:w="2835"/>
            <w:shd w:fill="D6E4F0" w:val="clear"/>
          </w:tcPr>
          <w:p>
            <w:r>
              <w:rPr>
                <w:b/>
                <w:sz w:val="18"/>
              </w:rPr>
              <w:t>Cadangan / Recommendation</w:t>
            </w:r>
          </w:p>
        </w:tc>
        <w:tc>
          <w:tcPr>
            <w:tcW w:type="dxa" w:w="6236"/>
          </w:tcPr>
          <w:p>
            <w:r>
              <w:rPr>
                <w:sz w:val="18"/>
              </w:rPr>
              <w:t>Adopt a structured policy review process with a documented checklist, formal sign-off by all reviewers, and a document management system with version control, audit trails, and access control.</w:t>
            </w:r>
          </w:p>
        </w:tc>
      </w:tr>
    </w:tbl>
    <w:p/>
    <w:p>
      <w:r>
        <w:br w:type="page"/>
      </w:r>
    </w:p>
    <w:p>
      <w:pPr>
        <w:pStyle w:val="Heading1"/>
      </w:pPr>
      <w:r>
        <w:t>11. Rumusan / Conclusion</w:t>
      </w:r>
    </w:p>
    <w:p>
      <w:r>
        <w:t>CE Directive 08 para 23(j): "Gambaran mengenai tahap pematuhan dan keberkesanan kawalan keselamatan siber yang dilaksanakan oleh entiti IKMN. Rumusan perlu menekankan aspek utama yang memerlukan perhatian dan tindakan segera."</w:t>
      </w:r>
    </w:p>
    <w:p>
      <w:pPr>
        <w:pStyle w:val="Heading2"/>
      </w:pPr>
      <w:r>
        <w:t>11.1 Ringkasan Postur Pematuhan / Compliance Posture Summary</w:t>
      </w:r>
    </w:p>
    <w:p>
      <w:r>
        <w:t>Of 210 Tier 1 CoP requirements assessed, 167 (79.5%) were rated Patuh, 26 (12.4%) Separa Patuh, 15 (7.1%) Tidak Patuh, and 2 (1.0%) Tidak Berkenaan. Of 42 CE Directive requirements, 25 (59.5%) were Patuh, 2 (4.8%) Separa Patuh, and 15 (35.7%) Tidak Patuh.</w:t>
      </w:r>
    </w:p>
    <w:p>
      <w:r>
        <w:t>Domains with strongest compliance: CoP 4.0 (Governance — 100%), CoP 12.0 (Contractual — 100%), CoP 17.0 (Event Management — 100%), CoP 10.0 (Operational Efficiency — 89%).</w:t>
      </w:r>
    </w:p>
    <w:p>
      <w:r>
        <w:t>Domains with weakest compliance: CoP 18.0 (Incident Management — 33% TP), CoP 9.0 (Risk Management — 11% TP), CoP 14.0 (System/Network Security — 8% TP).</w:t>
      </w:r>
    </w:p>
    <w:p>
      <w:r>
        <w:t>Of 11 statutory obligations, 7 were Met, 1 Pending (s23 — this audit report), 1 Partial (s27), and 2 Not Met (s21, s25, s26). The s26 non-compliance is Critical.</w:t>
      </w:r>
    </w:p>
    <w:p>
      <w:pPr>
        <w:pStyle w:val="Heading2"/>
      </w:pPr>
      <w:r>
        <w:t>11.2 Ringkasan Penilaian Risiko / Risk Assessment Summary</w:t>
      </w:r>
    </w:p>
    <w:p>
      <w:r>
        <w:t>6 CoP findings and 1 directive finding were raised: 1 Critical (+ 1 directive Critical), 2 High, 2 Medium, and 1 Low.</w:t>
      </w:r>
    </w:p>
    <w:p>
      <w:r>
        <w:t>The greatest risk to NCII is the absence of incident response capability (CSIRT). The energy SCADA system controls power distribution to ~180,000 consumers and has no structured incident detection, classification, or response capability. Combined with the stale firewall rules finding, the SCADA segment represents the highest-risk area.</w:t>
      </w:r>
    </w:p>
    <w:p>
      <w:r>
        <w:t>The combination of no CSIRT, no registered authorised persons, and untested 6-hour notification creates a scenario where a significant cyber incident could occur and NACSA would not be notified within the statutory timeframe, hampering national-level incident coordination.</w:t>
      </w:r>
    </w:p>
    <w:p>
      <w:pPr>
        <w:pStyle w:val="Heading2"/>
      </w:pPr>
      <w:r>
        <w:t>11.3 Perkara Memerlukan Perhatian / Key Areas Requiring Attention</w:t>
      </w:r>
    </w:p>
    <w:p>
      <w:pPr>
        <w:pStyle w:val="ListBullet"/>
      </w:pPr>
      <w:r>
        <w:t>CSIRT establishment and 6-hour notification testing (CoP-2026-001, DIR-2026-001) — Critical. Remediation within 30 days.</w:t>
      </w:r>
    </w:p>
    <w:p>
      <w:pPr>
        <w:pStyle w:val="ListBullet"/>
      </w:pPr>
      <w:r>
        <w:t>Risk assessment report submission (CoP-2026-002) — High. Submit immediately (within 7 days).</w:t>
      </w:r>
    </w:p>
    <w:p>
      <w:pPr>
        <w:pStyle w:val="ListBullet"/>
      </w:pPr>
      <w:r>
        <w:t>SCADA firewall rule review (CoP-2026-003) — High. Remediation within 90 days.</w:t>
      </w:r>
    </w:p>
    <w:p>
      <w:pPr>
        <w:pStyle w:val="ListBullet"/>
      </w:pPr>
      <w:r>
        <w:t>Systemic pattern: OT/SCADA security controls are consistently weaker than IT controls across multiple domains (CoP 11.0, 14.0, 16.0). This reflects inadequate investment in OT-specific cyber security capability.</w:t>
      </w:r>
    </w:p>
    <w:p>
      <w:pPr>
        <w:pStyle w:val="Heading2"/>
      </w:pPr>
      <w:r>
        <w:t>11.4 Susulan Audit Terdahulu / Prior Audit Follow-Up</w:t>
      </w:r>
    </w:p>
    <w:p>
      <w:r>
        <w:t>This is STS's first cyber security audit under Act 854. No prior findings exist.</w:t>
      </w:r>
    </w:p>
    <w:p>
      <w:pPr>
        <w:pStyle w:val="Heading2"/>
      </w:pPr>
      <w:r>
        <w:t>11.5 Pendapat Tambahan / Supplementary Opinion</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1F4E79" w:val="clear"/>
          </w:tcPr>
          <w:p>
            <w:pPr/>
            <w:r>
              <w:rPr>
                <w:b/>
                <w:color w:val="FFFFFF"/>
                <w:sz w:val="18"/>
              </w:rPr>
              <w:t>Pendapat / Opinion</w:t>
            </w:r>
          </w:p>
        </w:tc>
        <w:tc>
          <w:tcPr>
            <w:tcW w:type="dxa" w:w="5102"/>
            <w:shd w:fill="1F4E79" w:val="clear"/>
          </w:tcPr>
          <w:p>
            <w:pPr/>
            <w:r>
              <w:rPr>
                <w:b/>
                <w:color w:val="FFFFFF"/>
                <w:sz w:val="18"/>
              </w:rPr>
              <w:t>Kriteria / Criteria</w:t>
            </w:r>
          </w:p>
        </w:tc>
        <w:tc>
          <w:tcPr>
            <w:tcW w:type="dxa" w:w="1134"/>
            <w:shd w:fill="1F4E79" w:val="clear"/>
          </w:tcPr>
          <w:p>
            <w:pPr/>
            <w:r>
              <w:rPr>
                <w:b/>
                <w:color w:val="FFFFFF"/>
                <w:sz w:val="18"/>
              </w:rPr>
              <w:t>Dipilih / Selected</w:t>
            </w:r>
          </w:p>
        </w:tc>
      </w:tr>
      <w:tr>
        <w:tc>
          <w:tcPr>
            <w:tcW w:type="dxa" w:w="2268"/>
          </w:tcPr>
          <w:p>
            <w:r>
              <w:rPr>
                <w:sz w:val="18"/>
              </w:rPr>
              <w:t>Memuaskan (Satisfactory)</w:t>
            </w:r>
          </w:p>
        </w:tc>
        <w:tc>
          <w:tcPr>
            <w:tcW w:type="dxa" w:w="5102"/>
          </w:tcPr>
          <w:p>
            <w:r>
              <w:rPr>
                <w:sz w:val="18"/>
              </w:rPr>
              <w:t>No Critical/High findings. TP count zero or near-zero.</w:t>
            </w:r>
          </w:p>
        </w:tc>
        <w:tc>
          <w:tcPr>
            <w:tcW w:type="dxa" w:w="1134"/>
          </w:tcPr>
          <w:p>
            <w:r>
              <w:rPr>
                <w:sz w:val="18"/>
              </w:rPr>
            </w:r>
          </w:p>
        </w:tc>
      </w:tr>
      <w:tr>
        <w:tc>
          <w:tcPr>
            <w:tcW w:type="dxa" w:w="2268"/>
            <w:shd w:fill="F2F2F2" w:val="clear"/>
          </w:tcPr>
          <w:p>
            <w:r>
              <w:rPr>
                <w:sz w:val="18"/>
              </w:rPr>
              <w:t>Perlu Penambahbaikan</w:t>
              <w:br/>
              <w:t>(Needs Improvement)</w:t>
            </w:r>
          </w:p>
        </w:tc>
        <w:tc>
          <w:tcPr>
            <w:tcW w:type="dxa" w:w="5102"/>
            <w:shd w:fill="F2F2F2" w:val="clear"/>
          </w:tcPr>
          <w:p>
            <w:r>
              <w:rPr>
                <w:sz w:val="18"/>
              </w:rPr>
              <w:t>One or more High, OR multiple Medium with systemic gaps.</w:t>
            </w:r>
          </w:p>
        </w:tc>
        <w:tc>
          <w:tcPr>
            <w:tcW w:type="dxa" w:w="1134"/>
            <w:shd w:fill="F2F2F2" w:val="clear"/>
          </w:tcPr>
          <w:p>
            <w:r>
              <w:rPr>
                <w:sz w:val="18"/>
              </w:rPr>
              <w:t>[X]</w:t>
            </w:r>
          </w:p>
        </w:tc>
      </w:tr>
      <w:tr>
        <w:tc>
          <w:tcPr>
            <w:tcW w:type="dxa" w:w="2268"/>
          </w:tcPr>
          <w:p>
            <w:r>
              <w:rPr>
                <w:sz w:val="18"/>
              </w:rPr>
              <w:t>Tidak Memuaskan (Unsatisfactory)</w:t>
            </w:r>
          </w:p>
        </w:tc>
        <w:tc>
          <w:tcPr>
            <w:tcW w:type="dxa" w:w="5102"/>
          </w:tcPr>
          <w:p>
            <w:r>
              <w:rPr>
                <w:sz w:val="18"/>
              </w:rPr>
              <w:t>One or more Critical, OR multiple High across core domains.</w:t>
            </w:r>
          </w:p>
        </w:tc>
        <w:tc>
          <w:tcPr>
            <w:tcW w:type="dxa" w:w="1134"/>
          </w:tcPr>
          <w:p>
            <w:r>
              <w:rPr>
                <w:sz w:val="18"/>
              </w:rPr>
            </w:r>
          </w:p>
        </w:tc>
      </w:tr>
    </w:tbl>
    <w:p/>
    <w:p>
      <w:pPr>
        <w:pStyle w:val="Heading2"/>
      </w:pPr>
      <w:r>
        <w:t>11.6 Input Pengamal Undang-Undang / Legal Practitioner Input (Mode A)</w:t>
      </w:r>
    </w:p>
    <w:p>
      <w:r>
        <w:t>The legal practitioner (Puan Siti Nurhaliza) has reviewed the statutory compliance assessment (Section 4) and confirms the factual accuracy of the s21, s25, and s26 non-compliance determinations.</w:t>
      </w:r>
    </w:p>
    <w:p>
      <w:r>
        <w:t>Penalty exposure for the entity: s26 non-compliance (failure to establish incident notification process) — fine up to RM500,000 or imprisonment up to 10 years or both. s21 non-compliance (late risk assessment submission) — fine up to RM200,000 or imprisonment up to 3 years or both (compoundable at RM100,000).</w:t>
      </w:r>
    </w:p>
    <w:p>
      <w:r>
        <w:t>s52 director liability exposure has been assessed for 4 officers (see Section 5). The CEO and CFO face the highest exposure given documented evidence that CSIRT budget was specifically requested by the CISO and not approved.</w:t>
      </w:r>
    </w:p>
    <w:p>
      <w:r>
        <w:t>Note: The full privileged penalty quantification and legal strategy (Mode B) has been delivered separately to the audit committee chair under legal privilege. It is NOT referenced in this report.</w:t>
      </w:r>
    </w:p>
    <w:p>
      <w:r>
        <w:br w:type="page"/>
      </w:r>
    </w:p>
    <w:p>
      <w:pPr>
        <w:pStyle w:val="Heading1"/>
      </w:pPr>
      <w:r>
        <w:t>12. Pelan Tindakan Pengurusan / Management Action Plan (MAP)</w:t>
      </w:r>
    </w:p>
    <w:p>
      <w:r>
        <w:t>Management's response to each finding, including agreed remediation actions, responsible owners, and target completion dates. Per CE Directive 08 para 11, the entity must confirm findings before report finalisation.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134"/>
            <w:shd w:fill="1F4E79" w:val="clear"/>
          </w:tcPr>
          <w:p>
            <w:pPr/>
            <w:r>
              <w:rPr>
                <w:b/>
                <w:color w:val="FFFFFF"/>
                <w:sz w:val="18"/>
              </w:rPr>
              <w:t>ID Penemuan / Finding ID</w:t>
            </w:r>
          </w:p>
        </w:tc>
        <w:tc>
          <w:tcPr>
            <w:tcW w:type="dxa" w:w="1417"/>
            <w:shd w:fill="1F4E79" w:val="clear"/>
          </w:tcPr>
          <w:p>
            <w:pPr/>
            <w:r>
              <w:rPr>
                <w:b/>
                <w:color w:val="FFFFFF"/>
                <w:sz w:val="18"/>
              </w:rPr>
              <w:t>Respons / Response</w:t>
            </w:r>
          </w:p>
        </w:tc>
        <w:tc>
          <w:tcPr>
            <w:tcW w:type="dxa" w:w="2268"/>
            <w:shd w:fill="1F4E79" w:val="clear"/>
          </w:tcPr>
          <w:p>
            <w:pPr/>
            <w:r>
              <w:rPr>
                <w:b/>
                <w:color w:val="FFFFFF"/>
                <w:sz w:val="18"/>
              </w:rPr>
              <w:t>Tindakan / Action</w:t>
            </w:r>
          </w:p>
        </w:tc>
        <w:tc>
          <w:tcPr>
            <w:tcW w:type="dxa" w:w="1134"/>
            <w:shd w:fill="1F4E79" w:val="clear"/>
          </w:tcPr>
          <w:p>
            <w:pPr/>
            <w:r>
              <w:rPr>
                <w:b/>
                <w:color w:val="FFFFFF"/>
                <w:sz w:val="18"/>
              </w:rPr>
              <w:t>Pemilik / Owner</w:t>
            </w:r>
          </w:p>
        </w:tc>
        <w:tc>
          <w:tcPr>
            <w:tcW w:type="dxa" w:w="1134"/>
            <w:shd w:fill="1F4E79" w:val="clear"/>
          </w:tcPr>
          <w:p>
            <w:pPr/>
            <w:r>
              <w:rPr>
                <w:b/>
                <w:color w:val="FFFFFF"/>
                <w:sz w:val="18"/>
              </w:rPr>
              <w:t>Tarikh / Target</w:t>
            </w:r>
          </w:p>
        </w:tc>
        <w:tc>
          <w:tcPr>
            <w:tcW w:type="dxa" w:w="850"/>
            <w:shd w:fill="1F4E79" w:val="clear"/>
          </w:tcPr>
          <w:p>
            <w:pPr/>
            <w:r>
              <w:rPr>
                <w:b/>
                <w:color w:val="FFFFFF"/>
                <w:sz w:val="18"/>
              </w:rPr>
              <w:t>Status</w:t>
            </w:r>
          </w:p>
        </w:tc>
      </w:tr>
      <w:tr>
        <w:tc>
          <w:tcPr>
            <w:tcW w:type="dxa" w:w="1134"/>
          </w:tcPr>
          <w:p>
            <w:r>
              <w:rPr>
                <w:sz w:val="18"/>
              </w:rPr>
              <w:t>CoP-2026-001</w:t>
            </w:r>
          </w:p>
        </w:tc>
        <w:tc>
          <w:tcPr>
            <w:tcW w:type="dxa" w:w="1417"/>
          </w:tcPr>
          <w:p>
            <w:r>
              <w:rPr>
                <w:sz w:val="18"/>
              </w:rPr>
              <w:t>Setuju / Agree</w:t>
            </w:r>
          </w:p>
        </w:tc>
        <w:tc>
          <w:tcPr>
            <w:tcW w:type="dxa" w:w="2268"/>
          </w:tcPr>
          <w:p>
            <w:r>
              <w:rPr>
                <w:sz w:val="18"/>
              </w:rPr>
              <w:t>Establish CSIRT. Budget approved by Board (emergency resolution 20/02/2026). CSIRT to be operational by 26/03/2026. NC4 portal activation in progress.</w:t>
            </w:r>
          </w:p>
        </w:tc>
        <w:tc>
          <w:tcPr>
            <w:tcW w:type="dxa" w:w="1134"/>
          </w:tcPr>
          <w:p>
            <w:r>
              <w:rPr>
                <w:sz w:val="18"/>
              </w:rPr>
              <w:t>CISO</w:t>
            </w:r>
          </w:p>
        </w:tc>
        <w:tc>
          <w:tcPr>
            <w:tcW w:type="dxa" w:w="1134"/>
          </w:tcPr>
          <w:p>
            <w:r>
              <w:rPr>
                <w:sz w:val="18"/>
              </w:rPr>
              <w:t>26/03/2026</w:t>
            </w:r>
          </w:p>
        </w:tc>
        <w:tc>
          <w:tcPr>
            <w:tcW w:type="dxa" w:w="850"/>
          </w:tcPr>
          <w:p>
            <w:r>
              <w:rPr>
                <w:sz w:val="18"/>
              </w:rPr>
              <w:t>In Progress</w:t>
            </w:r>
          </w:p>
        </w:tc>
      </w:tr>
      <w:tr>
        <w:tc>
          <w:tcPr>
            <w:tcW w:type="dxa" w:w="1134"/>
            <w:shd w:fill="F2F2F2" w:val="clear"/>
          </w:tcPr>
          <w:p>
            <w:r>
              <w:rPr>
                <w:sz w:val="18"/>
              </w:rPr>
              <w:t>CoP-2026-002</w:t>
            </w:r>
          </w:p>
        </w:tc>
        <w:tc>
          <w:tcPr>
            <w:tcW w:type="dxa" w:w="1417"/>
            <w:shd w:fill="F2F2F2" w:val="clear"/>
          </w:tcPr>
          <w:p>
            <w:r>
              <w:rPr>
                <w:sz w:val="18"/>
              </w:rPr>
              <w:t>Setuju / Agree</w:t>
            </w:r>
          </w:p>
        </w:tc>
        <w:tc>
          <w:tcPr>
            <w:tcW w:type="dxa" w:w="2268"/>
            <w:shd w:fill="F2F2F2" w:val="clear"/>
          </w:tcPr>
          <w:p>
            <w:r>
              <w:rPr>
                <w:sz w:val="18"/>
              </w:rPr>
              <w:t>CEO signed risk assessment report on 18/02/2026. Submission to auditpematuhan@nacsa.gov.my completed on 19/02/2026.</w:t>
            </w:r>
          </w:p>
        </w:tc>
        <w:tc>
          <w:tcPr>
            <w:tcW w:type="dxa" w:w="1134"/>
            <w:shd w:fill="F2F2F2" w:val="clear"/>
          </w:tcPr>
          <w:p>
            <w:r>
              <w:rPr>
                <w:sz w:val="18"/>
              </w:rPr>
              <w:t>CISO</w:t>
            </w:r>
          </w:p>
        </w:tc>
        <w:tc>
          <w:tcPr>
            <w:tcW w:type="dxa" w:w="1134"/>
            <w:shd w:fill="F2F2F2" w:val="clear"/>
          </w:tcPr>
          <w:p>
            <w:r>
              <w:rPr>
                <w:sz w:val="18"/>
              </w:rPr>
              <w:t>19/02/2026</w:t>
            </w:r>
          </w:p>
        </w:tc>
        <w:tc>
          <w:tcPr>
            <w:tcW w:type="dxa" w:w="850"/>
            <w:shd w:fill="F2F2F2" w:val="clear"/>
          </w:tcPr>
          <w:p>
            <w:r>
              <w:rPr>
                <w:sz w:val="18"/>
              </w:rPr>
              <w:t>Closed</w:t>
            </w:r>
          </w:p>
        </w:tc>
      </w:tr>
      <w:tr>
        <w:tc>
          <w:tcPr>
            <w:tcW w:type="dxa" w:w="1134"/>
          </w:tcPr>
          <w:p>
            <w:r>
              <w:rPr>
                <w:sz w:val="18"/>
              </w:rPr>
              <w:t>CoP-2026-003</w:t>
            </w:r>
          </w:p>
        </w:tc>
        <w:tc>
          <w:tcPr>
            <w:tcW w:type="dxa" w:w="1417"/>
          </w:tcPr>
          <w:p>
            <w:r>
              <w:rPr>
                <w:sz w:val="18"/>
              </w:rPr>
              <w:t>Setuju / Agree</w:t>
            </w:r>
          </w:p>
        </w:tc>
        <w:tc>
          <w:tcPr>
            <w:tcW w:type="dxa" w:w="2268"/>
          </w:tcPr>
          <w:p>
            <w:r>
              <w:rPr>
                <w:sz w:val="18"/>
              </w:rPr>
              <w:t>Emergency firewall rule review for SCADA initiated. External OT security vendor (Dragos) engaged for comprehensive review. Quarterly review schedule to be reinstated.</w:t>
            </w:r>
          </w:p>
        </w:tc>
        <w:tc>
          <w:tcPr>
            <w:tcW w:type="dxa" w:w="1134"/>
          </w:tcPr>
          <w:p>
            <w:r>
              <w:rPr>
                <w:sz w:val="18"/>
              </w:rPr>
              <w:t>CTO</w:t>
            </w:r>
          </w:p>
        </w:tc>
        <w:tc>
          <w:tcPr>
            <w:tcW w:type="dxa" w:w="1134"/>
          </w:tcPr>
          <w:p>
            <w:r>
              <w:rPr>
                <w:sz w:val="18"/>
              </w:rPr>
              <w:t>26/05/2026</w:t>
            </w:r>
          </w:p>
        </w:tc>
        <w:tc>
          <w:tcPr>
            <w:tcW w:type="dxa" w:w="850"/>
          </w:tcPr>
          <w:p>
            <w:r>
              <w:rPr>
                <w:sz w:val="18"/>
              </w:rPr>
              <w:t>In Progress</w:t>
            </w:r>
          </w:p>
        </w:tc>
      </w:tr>
      <w:tr>
        <w:tc>
          <w:tcPr>
            <w:tcW w:type="dxa" w:w="1134"/>
            <w:shd w:fill="F2F2F2" w:val="clear"/>
          </w:tcPr>
          <w:p>
            <w:r>
              <w:rPr>
                <w:sz w:val="18"/>
              </w:rPr>
              <w:t>CoP-2026-004</w:t>
            </w:r>
          </w:p>
        </w:tc>
        <w:tc>
          <w:tcPr>
            <w:tcW w:type="dxa" w:w="1417"/>
            <w:shd w:fill="F2F2F2" w:val="clear"/>
          </w:tcPr>
          <w:p>
            <w:r>
              <w:rPr>
                <w:sz w:val="18"/>
              </w:rPr>
              <w:t>Setuju / Agree</w:t>
            </w:r>
          </w:p>
        </w:tc>
        <w:tc>
          <w:tcPr>
            <w:tcW w:type="dxa" w:w="2268"/>
            <w:shd w:fill="F2F2F2" w:val="clear"/>
          </w:tcPr>
          <w:p>
            <w:r>
              <w:rPr>
                <w:sz w:val="18"/>
              </w:rPr>
              <w:t>Passive scanning solution for OT assets being evaluated. RFQ issued to 3 vendors. Interim: firmware version tracking for all excluded assets implemented manually.</w:t>
            </w:r>
          </w:p>
        </w:tc>
        <w:tc>
          <w:tcPr>
            <w:tcW w:type="dxa" w:w="1134"/>
            <w:shd w:fill="F2F2F2" w:val="clear"/>
          </w:tcPr>
          <w:p>
            <w:r>
              <w:rPr>
                <w:sz w:val="18"/>
              </w:rPr>
              <w:t>CISO</w:t>
            </w:r>
          </w:p>
        </w:tc>
        <w:tc>
          <w:tcPr>
            <w:tcW w:type="dxa" w:w="1134"/>
            <w:shd w:fill="F2F2F2" w:val="clear"/>
          </w:tcPr>
          <w:p>
            <w:r>
              <w:rPr>
                <w:sz w:val="18"/>
              </w:rPr>
              <w:t>26/08/2026</w:t>
            </w:r>
          </w:p>
        </w:tc>
        <w:tc>
          <w:tcPr>
            <w:tcW w:type="dxa" w:w="850"/>
            <w:shd w:fill="F2F2F2" w:val="clear"/>
          </w:tcPr>
          <w:p>
            <w:r>
              <w:rPr>
                <w:sz w:val="18"/>
              </w:rPr>
              <w:t>In Progress</w:t>
            </w:r>
          </w:p>
        </w:tc>
      </w:tr>
      <w:tr>
        <w:tc>
          <w:tcPr>
            <w:tcW w:type="dxa" w:w="1134"/>
          </w:tcPr>
          <w:p>
            <w:r>
              <w:rPr>
                <w:sz w:val="18"/>
              </w:rPr>
              <w:t>CoP-2026-005</w:t>
            </w:r>
          </w:p>
        </w:tc>
        <w:tc>
          <w:tcPr>
            <w:tcW w:type="dxa" w:w="1417"/>
          </w:tcPr>
          <w:p>
            <w:r>
              <w:rPr>
                <w:sz w:val="18"/>
              </w:rPr>
              <w:t>Sebahagian / Partial</w:t>
            </w:r>
          </w:p>
        </w:tc>
        <w:tc>
          <w:tcPr>
            <w:tcW w:type="dxa" w:w="2268"/>
          </w:tcPr>
          <w:p>
            <w:r>
              <w:rPr>
                <w:sz w:val="18"/>
              </w:rPr>
              <w:t>Entity agrees DLP coverage should be extended but notes performance constraints on SCADA HMI workstations. Will implement network-based DLP on SCADA/IT boundary as compensating control. Full endpoint DLP for SCADA not feasible.</w:t>
            </w:r>
          </w:p>
        </w:tc>
        <w:tc>
          <w:tcPr>
            <w:tcW w:type="dxa" w:w="1134"/>
          </w:tcPr>
          <w:p>
            <w:r>
              <w:rPr>
                <w:sz w:val="18"/>
              </w:rPr>
              <w:t>CTO</w:t>
            </w:r>
          </w:p>
        </w:tc>
        <w:tc>
          <w:tcPr>
            <w:tcW w:type="dxa" w:w="1134"/>
          </w:tcPr>
          <w:p>
            <w:r>
              <w:rPr>
                <w:sz w:val="18"/>
              </w:rPr>
              <w:t>26/08/2026</w:t>
            </w:r>
          </w:p>
        </w:tc>
        <w:tc>
          <w:tcPr>
            <w:tcW w:type="dxa" w:w="850"/>
          </w:tcPr>
          <w:p>
            <w:r>
              <w:rPr>
                <w:sz w:val="18"/>
              </w:rPr>
              <w:t>In Progress</w:t>
            </w:r>
          </w:p>
        </w:tc>
      </w:tr>
      <w:tr>
        <w:tc>
          <w:tcPr>
            <w:tcW w:type="dxa" w:w="1134"/>
            <w:shd w:fill="F2F2F2" w:val="clear"/>
          </w:tcPr>
          <w:p>
            <w:r>
              <w:rPr>
                <w:sz w:val="18"/>
              </w:rPr>
              <w:t>CoP-2026-006</w:t>
            </w:r>
          </w:p>
        </w:tc>
        <w:tc>
          <w:tcPr>
            <w:tcW w:type="dxa" w:w="1417"/>
            <w:shd w:fill="F2F2F2" w:val="clear"/>
          </w:tcPr>
          <w:p>
            <w:r>
              <w:rPr>
                <w:sz w:val="18"/>
              </w:rPr>
              <w:t>Setuju / Agree</w:t>
            </w:r>
          </w:p>
        </w:tc>
        <w:tc>
          <w:tcPr>
            <w:tcW w:type="dxa" w:w="2268"/>
            <w:shd w:fill="F2F2F2" w:val="clear"/>
          </w:tcPr>
          <w:p>
            <w:r>
              <w:rPr>
                <w:sz w:val="18"/>
              </w:rPr>
              <w:t>Physical security procedure review completed on 10/02/2026 (during audit). Updated procedure covers new data centre. Automated review tracking implemented in ServiceNow.</w:t>
            </w:r>
          </w:p>
        </w:tc>
        <w:tc>
          <w:tcPr>
            <w:tcW w:type="dxa" w:w="1134"/>
            <w:shd w:fill="F2F2F2" w:val="clear"/>
          </w:tcPr>
          <w:p>
            <w:r>
              <w:rPr>
                <w:sz w:val="18"/>
              </w:rPr>
              <w:t>Facilities Mgr</w:t>
            </w:r>
          </w:p>
        </w:tc>
        <w:tc>
          <w:tcPr>
            <w:tcW w:type="dxa" w:w="1134"/>
            <w:shd w:fill="F2F2F2" w:val="clear"/>
          </w:tcPr>
          <w:p>
            <w:r>
              <w:rPr>
                <w:sz w:val="18"/>
              </w:rPr>
              <w:t>10/02/2026</w:t>
            </w:r>
          </w:p>
        </w:tc>
        <w:tc>
          <w:tcPr>
            <w:tcW w:type="dxa" w:w="850"/>
            <w:shd w:fill="F2F2F2" w:val="clear"/>
          </w:tcPr>
          <w:p>
            <w:r>
              <w:rPr>
                <w:sz w:val="18"/>
              </w:rPr>
              <w:t>Closed</w:t>
            </w:r>
          </w:p>
        </w:tc>
      </w:tr>
      <w:tr>
        <w:tc>
          <w:tcPr>
            <w:tcW w:type="dxa" w:w="1134"/>
          </w:tcPr>
          <w:p>
            <w:r>
              <w:rPr>
                <w:sz w:val="18"/>
              </w:rPr>
              <w:t>DIR-2026-001</w:t>
            </w:r>
          </w:p>
        </w:tc>
        <w:tc>
          <w:tcPr>
            <w:tcW w:type="dxa" w:w="1417"/>
          </w:tcPr>
          <w:p>
            <w:r>
              <w:rPr>
                <w:sz w:val="18"/>
              </w:rPr>
              <w:t>Setuju / Agree</w:t>
            </w:r>
          </w:p>
        </w:tc>
        <w:tc>
          <w:tcPr>
            <w:tcW w:type="dxa" w:w="2268"/>
          </w:tcPr>
          <w:p>
            <w:r>
              <w:rPr>
                <w:sz w:val="18"/>
              </w:rPr>
              <w:t>Authorised person registration forms prepared for CISO, IT Security Manager, and NOC Manager. Submission to NACSA by 28/02/2026.</w:t>
            </w:r>
          </w:p>
        </w:tc>
        <w:tc>
          <w:tcPr>
            <w:tcW w:type="dxa" w:w="1134"/>
          </w:tcPr>
          <w:p>
            <w:r>
              <w:rPr>
                <w:sz w:val="18"/>
              </w:rPr>
              <w:t>CISO</w:t>
            </w:r>
          </w:p>
        </w:tc>
        <w:tc>
          <w:tcPr>
            <w:tcW w:type="dxa" w:w="1134"/>
          </w:tcPr>
          <w:p>
            <w:r>
              <w:rPr>
                <w:sz w:val="18"/>
              </w:rPr>
              <w:t>28/02/2026</w:t>
            </w:r>
          </w:p>
        </w:tc>
        <w:tc>
          <w:tcPr>
            <w:tcW w:type="dxa" w:w="850"/>
          </w:tcPr>
          <w:p>
            <w:r>
              <w:rPr>
                <w:sz w:val="18"/>
              </w:rPr>
              <w:t>In Progress</w:t>
            </w:r>
          </w:p>
        </w:tc>
      </w:tr>
    </w:tbl>
    <w:p>
      <w:r>
        <w:br w:type="page"/>
      </w:r>
    </w:p>
    <w:p>
      <w:pPr>
        <w:pStyle w:val="Heading1"/>
      </w:pPr>
      <w:r>
        <w:t>Lampiran A — Senarai Sistem NCII / NCII System Register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134"/>
            <w:shd w:fill="1F4E79" w:val="clear"/>
          </w:tcPr>
          <w:p>
            <w:pPr/>
            <w:r>
              <w:rPr>
                <w:b/>
                <w:color w:val="FFFFFF"/>
                <w:sz w:val="18"/>
              </w:rPr>
              <w:t>ID Sistem / System ID</w:t>
            </w:r>
          </w:p>
        </w:tc>
        <w:tc>
          <w:tcPr>
            <w:tcW w:type="dxa" w:w="1701"/>
            <w:shd w:fill="1F4E79" w:val="clear"/>
          </w:tcPr>
          <w:p>
            <w:pPr/>
            <w:r>
              <w:rPr>
                <w:b/>
                <w:color w:val="FFFFFF"/>
                <w:sz w:val="18"/>
              </w:rPr>
              <w:t>Nama / Name</w:t>
            </w:r>
          </w:p>
        </w:tc>
        <w:tc>
          <w:tcPr>
            <w:tcW w:type="dxa" w:w="1984"/>
            <w:shd w:fill="1F4E79" w:val="clear"/>
          </w:tcPr>
          <w:p>
            <w:pPr/>
            <w:r>
              <w:rPr>
                <w:b/>
                <w:color w:val="FFFFFF"/>
                <w:sz w:val="18"/>
              </w:rPr>
              <w:t>Perihalan / Description</w:t>
            </w:r>
          </w:p>
        </w:tc>
        <w:tc>
          <w:tcPr>
            <w:tcW w:type="dxa" w:w="1134"/>
            <w:shd w:fill="1F4E79" w:val="clear"/>
          </w:tcPr>
          <w:p>
            <w:pPr/>
            <w:r>
              <w:rPr>
                <w:b/>
                <w:color w:val="FFFFFF"/>
                <w:sz w:val="18"/>
              </w:rPr>
              <w:t>Klasifikasi / Classification</w:t>
            </w:r>
          </w:p>
        </w:tc>
        <w:tc>
          <w:tcPr>
            <w:tcW w:type="dxa" w:w="1134"/>
            <w:shd w:fill="1F4E79" w:val="clear"/>
          </w:tcPr>
          <w:p>
            <w:pPr/>
            <w:r>
              <w:rPr>
                <w:b/>
                <w:color w:val="FFFFFF"/>
                <w:sz w:val="18"/>
              </w:rPr>
              <w:t>Lokasi / Location</w:t>
            </w:r>
          </w:p>
        </w:tc>
        <w:tc>
          <w:tcPr>
            <w:tcW w:type="dxa" w:w="1417"/>
            <w:shd w:fill="1F4E79" w:val="clear"/>
          </w:tcPr>
          <w:p>
            <w:pPr/>
            <w:r>
              <w:rPr>
                <w:b/>
                <w:color w:val="FFFFFF"/>
                <w:sz w:val="18"/>
              </w:rPr>
              <w:t>Pemilik / Owner</w:t>
            </w:r>
          </w:p>
        </w:tc>
      </w:tr>
      <w:tr>
        <w:tc>
          <w:tcPr>
            <w:tcW w:type="dxa" w:w="1134"/>
          </w:tcPr>
          <w:p>
            <w:r>
              <w:rPr>
                <w:sz w:val="18"/>
              </w:rPr>
              <w:t>NCII-SYS-001</w:t>
            </w:r>
          </w:p>
        </w:tc>
        <w:tc>
          <w:tcPr>
            <w:tcW w:type="dxa" w:w="1701"/>
          </w:tcPr>
          <w:p>
            <w:r>
              <w:rPr>
                <w:sz w:val="18"/>
              </w:rPr>
              <w:t>Sistem Kawalan SCADA / SCADA Control System</w:t>
            </w:r>
          </w:p>
        </w:tc>
        <w:tc>
          <w:tcPr>
            <w:tcW w:type="dxa" w:w="1984"/>
          </w:tcPr>
          <w:p>
            <w:r>
              <w:rPr>
                <w:sz w:val="18"/>
              </w:rPr>
              <w:t>ABB Ability Symphony Plus. Controls power distribution for Northern Region grid. 142 endpoints (PLCs, RTUs, HMIs).</w:t>
            </w:r>
          </w:p>
        </w:tc>
        <w:tc>
          <w:tcPr>
            <w:tcW w:type="dxa" w:w="1134"/>
          </w:tcPr>
          <w:p>
            <w:r>
              <w:rPr>
                <w:sz w:val="18"/>
              </w:rPr>
              <w:t>Kritikal</w:t>
            </w:r>
          </w:p>
        </w:tc>
        <w:tc>
          <w:tcPr>
            <w:tcW w:type="dxa" w:w="1134"/>
          </w:tcPr>
          <w:p>
            <w:r>
              <w:rPr>
                <w:sz w:val="18"/>
              </w:rPr>
              <w:t>Pusat Kawalan Utara / Northern Control Centre, Penang</w:t>
            </w:r>
          </w:p>
        </w:tc>
        <w:tc>
          <w:tcPr>
            <w:tcW w:type="dxa" w:w="1417"/>
          </w:tcPr>
          <w:p>
            <w:r>
              <w:rPr>
                <w:sz w:val="18"/>
              </w:rPr>
              <w:t>VP Operations</w:t>
            </w:r>
          </w:p>
        </w:tc>
      </w:tr>
      <w:tr>
        <w:tc>
          <w:tcPr>
            <w:tcW w:type="dxa" w:w="1134"/>
            <w:shd w:fill="F2F2F2" w:val="clear"/>
          </w:tcPr>
          <w:p>
            <w:r>
              <w:rPr>
                <w:sz w:val="18"/>
              </w:rPr>
              <w:t>NCII-SYS-002</w:t>
            </w:r>
          </w:p>
        </w:tc>
        <w:tc>
          <w:tcPr>
            <w:tcW w:type="dxa" w:w="1701"/>
            <w:shd w:fill="F2F2F2" w:val="clear"/>
          </w:tcPr>
          <w:p>
            <w:r>
              <w:rPr>
                <w:sz w:val="18"/>
              </w:rPr>
              <w:t>Sistem Pengurusan Tenaga / Energy Management System (EMS)</w:t>
            </w:r>
          </w:p>
        </w:tc>
        <w:tc>
          <w:tcPr>
            <w:tcW w:type="dxa" w:w="1984"/>
            <w:shd w:fill="F2F2F2" w:val="clear"/>
          </w:tcPr>
          <w:p>
            <w:r>
              <w:rPr>
                <w:sz w:val="18"/>
              </w:rPr>
              <w:t>GE EMS/SCADA. Real-time monitoring of generation, transmission, and distribution. Interfaces with SCADA via ICCP.</w:t>
            </w:r>
          </w:p>
        </w:tc>
        <w:tc>
          <w:tcPr>
            <w:tcW w:type="dxa" w:w="1134"/>
            <w:shd w:fill="F2F2F2" w:val="clear"/>
          </w:tcPr>
          <w:p>
            <w:r>
              <w:rPr>
                <w:sz w:val="18"/>
              </w:rPr>
              <w:t>Kritikal</w:t>
            </w:r>
          </w:p>
        </w:tc>
        <w:tc>
          <w:tcPr>
            <w:tcW w:type="dxa" w:w="1134"/>
            <w:shd w:fill="F2F2F2" w:val="clear"/>
          </w:tcPr>
          <w:p>
            <w:r>
              <w:rPr>
                <w:sz w:val="18"/>
              </w:rPr>
              <w:t>Pusat Kawalan Utara / Northern Control Centre, Penang</w:t>
            </w:r>
          </w:p>
        </w:tc>
        <w:tc>
          <w:tcPr>
            <w:tcW w:type="dxa" w:w="1417"/>
            <w:shd w:fill="F2F2F2" w:val="clear"/>
          </w:tcPr>
          <w:p>
            <w:r>
              <w:rPr>
                <w:sz w:val="18"/>
              </w:rPr>
              <w:t>VP Operations</w:t>
            </w:r>
          </w:p>
        </w:tc>
      </w:tr>
      <w:tr>
        <w:tc>
          <w:tcPr>
            <w:tcW w:type="dxa" w:w="1134"/>
          </w:tcPr>
          <w:p>
            <w:r>
              <w:rPr>
                <w:sz w:val="18"/>
              </w:rPr>
              <w:t>NCII-SYS-003</w:t>
            </w:r>
          </w:p>
        </w:tc>
        <w:tc>
          <w:tcPr>
            <w:tcW w:type="dxa" w:w="1701"/>
          </w:tcPr>
          <w:p>
            <w:r>
              <w:rPr>
                <w:sz w:val="18"/>
              </w:rPr>
              <w:t>Platform Grid Pintar / Smart Grid Platform</w:t>
            </w:r>
          </w:p>
        </w:tc>
        <w:tc>
          <w:tcPr>
            <w:tcW w:type="dxa" w:w="1984"/>
          </w:tcPr>
          <w:p>
            <w:r>
              <w:rPr>
                <w:sz w:val="18"/>
              </w:rPr>
              <w:t>Custom-built platform for smart meter management, demand response, and distributed energy resource integration. 45,000 smart meters.</w:t>
            </w:r>
          </w:p>
        </w:tc>
        <w:tc>
          <w:tcPr>
            <w:tcW w:type="dxa" w:w="1134"/>
          </w:tcPr>
          <w:p>
            <w:r>
              <w:rPr>
                <w:sz w:val="18"/>
              </w:rPr>
              <w:t>Standard</w:t>
            </w:r>
          </w:p>
        </w:tc>
        <w:tc>
          <w:tcPr>
            <w:tcW w:type="dxa" w:w="1134"/>
          </w:tcPr>
          <w:p>
            <w:r>
              <w:rPr>
                <w:sz w:val="18"/>
              </w:rPr>
              <w:t>Data Centre Kuala Lumpur / KL Data Centre</w:t>
            </w:r>
          </w:p>
        </w:tc>
        <w:tc>
          <w:tcPr>
            <w:tcW w:type="dxa" w:w="1417"/>
          </w:tcPr>
          <w:p>
            <w:r>
              <w:rPr>
                <w:sz w:val="18"/>
              </w:rPr>
              <w:t>CTO</w:t>
            </w:r>
          </w:p>
        </w:tc>
      </w:tr>
      <w:tr>
        <w:tc>
          <w:tcPr>
            <w:tcW w:type="dxa" w:w="1134"/>
            <w:shd w:fill="F2F2F2" w:val="clear"/>
          </w:tcPr>
          <w:p>
            <w:r>
              <w:rPr>
                <w:sz w:val="18"/>
              </w:rPr>
              <w:t>NCII-SYS-004</w:t>
            </w:r>
          </w:p>
        </w:tc>
        <w:tc>
          <w:tcPr>
            <w:tcW w:type="dxa" w:w="1701"/>
            <w:shd w:fill="F2F2F2" w:val="clear"/>
          </w:tcPr>
          <w:p>
            <w:r>
              <w:rPr>
                <w:sz w:val="18"/>
              </w:rPr>
              <w:t>Rangkaian Korporat / Corporate Network</w:t>
            </w:r>
          </w:p>
        </w:tc>
        <w:tc>
          <w:tcPr>
            <w:tcW w:type="dxa" w:w="1984"/>
            <w:shd w:fill="F2F2F2" w:val="clear"/>
          </w:tcPr>
          <w:p>
            <w:r>
              <w:rPr>
                <w:sz w:val="18"/>
              </w:rPr>
              <w:t>Enterprise IT network supporting business operations, ERP, email, and remote access. Interconnected with SCADA via controlled DMZ.</w:t>
            </w:r>
          </w:p>
        </w:tc>
        <w:tc>
          <w:tcPr>
            <w:tcW w:type="dxa" w:w="1134"/>
            <w:shd w:fill="F2F2F2" w:val="clear"/>
          </w:tcPr>
          <w:p>
            <w:r>
              <w:rPr>
                <w:sz w:val="18"/>
              </w:rPr>
              <w:t>Standard</w:t>
            </w:r>
          </w:p>
        </w:tc>
        <w:tc>
          <w:tcPr>
            <w:tcW w:type="dxa" w:w="1134"/>
            <w:shd w:fill="F2F2F2" w:val="clear"/>
          </w:tcPr>
          <w:p>
            <w:r>
              <w:rPr>
                <w:sz w:val="18"/>
              </w:rPr>
              <w:t>Ibu Pejabat / Head Office, Kuala Lumpur</w:t>
            </w:r>
          </w:p>
        </w:tc>
        <w:tc>
          <w:tcPr>
            <w:tcW w:type="dxa" w:w="1417"/>
            <w:shd w:fill="F2F2F2" w:val="clear"/>
          </w:tcPr>
          <w:p>
            <w:r>
              <w:rPr>
                <w:sz w:val="18"/>
              </w:rPr>
              <w:t>CTO</w:t>
            </w:r>
          </w:p>
        </w:tc>
      </w:tr>
    </w:tbl>
    <w:p>
      <w:r>
        <w:br w:type="page"/>
      </w:r>
    </w:p>
    <w:p>
      <w:pPr>
        <w:pStyle w:val="Heading1"/>
      </w:pPr>
      <w:r>
        <w:t>Lampiran B — Pendedahan Penalti / Penalty Exposure Summary</w:t>
      </w:r>
    </w:p>
    <w:p>
      <w:r>
        <w:t>Note: This appendix summarises penalty exposure based on audit findings (Mode A input). The full privileged penalty quantification (Mode B) is a separate, confidential deliverable to the audit committee and is NOT included in this report.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850"/>
            <w:shd w:fill="1F4E79" w:val="clear"/>
          </w:tcPr>
          <w:p>
            <w:pPr/>
            <w:r>
              <w:rPr>
                <w:b/>
                <w:color w:val="FFFFFF"/>
                <w:sz w:val="18"/>
              </w:rPr>
              <w:t>Seksyen / Section</w:t>
            </w:r>
          </w:p>
        </w:tc>
        <w:tc>
          <w:tcPr>
            <w:tcW w:type="dxa" w:w="2268"/>
            <w:shd w:fill="1F4E79" w:val="clear"/>
          </w:tcPr>
          <w:p>
            <w:pPr/>
            <w:r>
              <w:rPr>
                <w:b/>
                <w:color w:val="FFFFFF"/>
                <w:sz w:val="18"/>
              </w:rPr>
              <w:t>Kesalahan / Offence</w:t>
            </w:r>
          </w:p>
        </w:tc>
        <w:tc>
          <w:tcPr>
            <w:tcW w:type="dxa" w:w="1134"/>
            <w:shd w:fill="1F4E79" w:val="clear"/>
          </w:tcPr>
          <w:p>
            <w:pPr/>
            <w:r>
              <w:rPr>
                <w:b/>
                <w:color w:val="FFFFFF"/>
                <w:sz w:val="18"/>
              </w:rPr>
              <w:t>Denda Maks / Max Fine</w:t>
            </w:r>
          </w:p>
        </w:tc>
        <w:tc>
          <w:tcPr>
            <w:tcW w:type="dxa" w:w="1417"/>
            <w:shd w:fill="1F4E79" w:val="clear"/>
          </w:tcPr>
          <w:p>
            <w:pPr/>
            <w:r>
              <w:rPr>
                <w:b/>
                <w:color w:val="FFFFFF"/>
                <w:sz w:val="18"/>
              </w:rPr>
              <w:t>Penjara Maks / Max Imprisonment</w:t>
            </w:r>
          </w:p>
        </w:tc>
        <w:tc>
          <w:tcPr>
            <w:tcW w:type="dxa" w:w="1134"/>
            <w:shd w:fill="1F4E79" w:val="clear"/>
          </w:tcPr>
          <w:p>
            <w:pPr/>
            <w:r>
              <w:rPr>
                <w:b/>
                <w:color w:val="FFFFFF"/>
                <w:sz w:val="18"/>
              </w:rPr>
              <w:t>Boleh Dikompaun / Compoundable</w:t>
            </w:r>
          </w:p>
        </w:tc>
        <w:tc>
          <w:tcPr>
            <w:tcW w:type="dxa" w:w="1417"/>
            <w:shd w:fill="1F4E79" w:val="clear"/>
          </w:tcPr>
          <w:p>
            <w:pPr/>
            <w:r>
              <w:rPr>
                <w:b/>
                <w:color w:val="FFFFFF"/>
                <w:sz w:val="18"/>
              </w:rPr>
              <w:t>Penemuan / Finding</w:t>
            </w:r>
          </w:p>
        </w:tc>
      </w:tr>
      <w:tr>
        <w:tc>
          <w:tcPr>
            <w:tcW w:type="dxa" w:w="850"/>
          </w:tcPr>
          <w:p>
            <w:r>
              <w:rPr>
                <w:sz w:val="18"/>
              </w:rPr>
              <w:t>s26</w:t>
            </w:r>
          </w:p>
        </w:tc>
        <w:tc>
          <w:tcPr>
            <w:tcW w:type="dxa" w:w="2268"/>
          </w:tcPr>
          <w:p>
            <w:r>
              <w:rPr>
                <w:sz w:val="18"/>
              </w:rPr>
              <w:t>Failure to notify cyber security incident within 6 hours</w:t>
            </w:r>
          </w:p>
        </w:tc>
        <w:tc>
          <w:tcPr>
            <w:tcW w:type="dxa" w:w="1134"/>
          </w:tcPr>
          <w:p>
            <w:r>
              <w:rPr>
                <w:sz w:val="18"/>
              </w:rPr>
              <w:t>RM500,000</w:t>
            </w:r>
          </w:p>
        </w:tc>
        <w:tc>
          <w:tcPr>
            <w:tcW w:type="dxa" w:w="1417"/>
          </w:tcPr>
          <w:p>
            <w:r>
              <w:rPr>
                <w:sz w:val="18"/>
              </w:rPr>
              <w:t>10 years</w:t>
            </w:r>
          </w:p>
        </w:tc>
        <w:tc>
          <w:tcPr>
            <w:tcW w:type="dxa" w:w="1134"/>
          </w:tcPr>
          <w:p>
            <w:r>
              <w:rPr>
                <w:sz w:val="18"/>
              </w:rPr>
              <w:t>No</w:t>
            </w:r>
          </w:p>
        </w:tc>
        <w:tc>
          <w:tcPr>
            <w:tcW w:type="dxa" w:w="1417"/>
          </w:tcPr>
          <w:p>
            <w:r>
              <w:rPr>
                <w:sz w:val="18"/>
              </w:rPr>
              <w:t>CoP-2026-001</w:t>
            </w:r>
          </w:p>
        </w:tc>
      </w:tr>
      <w:tr>
        <w:tc>
          <w:tcPr>
            <w:tcW w:type="dxa" w:w="850"/>
            <w:shd w:fill="F2F2F2" w:val="clear"/>
          </w:tcPr>
          <w:p>
            <w:r>
              <w:rPr>
                <w:sz w:val="18"/>
              </w:rPr>
              <w:t>s21</w:t>
            </w:r>
          </w:p>
        </w:tc>
        <w:tc>
          <w:tcPr>
            <w:tcW w:type="dxa" w:w="2268"/>
            <w:shd w:fill="F2F2F2" w:val="clear"/>
          </w:tcPr>
          <w:p>
            <w:r>
              <w:rPr>
                <w:sz w:val="18"/>
              </w:rPr>
              <w:t>Failure to submit risk assessment report within prescribed period</w:t>
            </w:r>
          </w:p>
        </w:tc>
        <w:tc>
          <w:tcPr>
            <w:tcW w:type="dxa" w:w="1134"/>
            <w:shd w:fill="F2F2F2" w:val="clear"/>
          </w:tcPr>
          <w:p>
            <w:r>
              <w:rPr>
                <w:sz w:val="18"/>
              </w:rPr>
              <w:t>RM200,000</w:t>
            </w:r>
          </w:p>
        </w:tc>
        <w:tc>
          <w:tcPr>
            <w:tcW w:type="dxa" w:w="1417"/>
            <w:shd w:fill="F2F2F2" w:val="clear"/>
          </w:tcPr>
          <w:p>
            <w:r>
              <w:rPr>
                <w:sz w:val="18"/>
              </w:rPr>
              <w:t>3 years</w:t>
            </w:r>
          </w:p>
        </w:tc>
        <w:tc>
          <w:tcPr>
            <w:tcW w:type="dxa" w:w="1134"/>
            <w:shd w:fill="F2F2F2" w:val="clear"/>
          </w:tcPr>
          <w:p>
            <w:r>
              <w:rPr>
                <w:sz w:val="18"/>
              </w:rPr>
              <w:t>Yes (RM100,000)</w:t>
            </w:r>
          </w:p>
        </w:tc>
        <w:tc>
          <w:tcPr>
            <w:tcW w:type="dxa" w:w="1417"/>
            <w:shd w:fill="F2F2F2" w:val="clear"/>
          </w:tcPr>
          <w:p>
            <w:r>
              <w:rPr>
                <w:sz w:val="18"/>
              </w:rPr>
              <w:t>CoP-2026-002</w:t>
            </w:r>
          </w:p>
        </w:tc>
      </w:tr>
      <w:tr>
        <w:tc>
          <w:tcPr>
            <w:tcW w:type="dxa" w:w="850"/>
          </w:tcPr>
          <w:p>
            <w:r>
              <w:rPr>
                <w:sz w:val="18"/>
              </w:rPr>
              <w:t>s25</w:t>
            </w:r>
          </w:p>
        </w:tc>
        <w:tc>
          <w:tcPr>
            <w:tcW w:type="dxa" w:w="2268"/>
          </w:tcPr>
          <w:p>
            <w:r>
              <w:rPr>
                <w:sz w:val="18"/>
              </w:rPr>
              <w:t>Failure to share cyber threat information when required</w:t>
            </w:r>
          </w:p>
        </w:tc>
        <w:tc>
          <w:tcPr>
            <w:tcW w:type="dxa" w:w="1134"/>
          </w:tcPr>
          <w:p>
            <w:r>
              <w:rPr>
                <w:sz w:val="18"/>
              </w:rPr>
              <w:t>RM200,000</w:t>
            </w:r>
          </w:p>
        </w:tc>
        <w:tc>
          <w:tcPr>
            <w:tcW w:type="dxa" w:w="1417"/>
          </w:tcPr>
          <w:p>
            <w:r>
              <w:rPr>
                <w:sz w:val="18"/>
              </w:rPr>
              <w:t>3 years</w:t>
            </w:r>
          </w:p>
        </w:tc>
        <w:tc>
          <w:tcPr>
            <w:tcW w:type="dxa" w:w="1134"/>
          </w:tcPr>
          <w:p>
            <w:r>
              <w:rPr>
                <w:sz w:val="18"/>
              </w:rPr>
              <w:t>Yes (RM100,000)</w:t>
            </w:r>
          </w:p>
        </w:tc>
        <w:tc>
          <w:tcPr>
            <w:tcW w:type="dxa" w:w="1417"/>
          </w:tcPr>
          <w:p>
            <w:r>
              <w:rPr>
                <w:sz w:val="18"/>
              </w:rPr>
              <w:t>DIR-2026-001</w:t>
            </w:r>
          </w:p>
        </w:tc>
      </w:tr>
      <w:tr>
        <w:tc>
          <w:tcPr>
            <w:tcW w:type="dxa" w:w="850"/>
            <w:shd w:fill="F2F2F2" w:val="clear"/>
          </w:tcPr>
          <w:p>
            <w:r>
              <w:rPr>
                <w:sz w:val="18"/>
              </w:rPr>
              <w:t>s52</w:t>
            </w:r>
          </w:p>
        </w:tc>
        <w:tc>
          <w:tcPr>
            <w:tcW w:type="dxa" w:w="2268"/>
            <w:shd w:fill="F2F2F2" w:val="clear"/>
          </w:tcPr>
          <w:p>
            <w:r>
              <w:rPr>
                <w:sz w:val="18"/>
              </w:rPr>
              <w:t>Director liability — deemed to have committed offence unless due diligence proved</w:t>
            </w:r>
          </w:p>
        </w:tc>
        <w:tc>
          <w:tcPr>
            <w:tcW w:type="dxa" w:w="1134"/>
            <w:shd w:fill="F2F2F2" w:val="clear"/>
          </w:tcPr>
          <w:p>
            <w:r>
              <w:rPr>
                <w:sz w:val="18"/>
              </w:rPr>
              <w:t>Same as principal offence</w:t>
            </w:r>
          </w:p>
        </w:tc>
        <w:tc>
          <w:tcPr>
            <w:tcW w:type="dxa" w:w="1417"/>
            <w:shd w:fill="F2F2F2" w:val="clear"/>
          </w:tcPr>
          <w:p>
            <w:r>
              <w:rPr>
                <w:sz w:val="18"/>
              </w:rPr>
              <w:t>Same as principal offence</w:t>
            </w:r>
          </w:p>
        </w:tc>
        <w:tc>
          <w:tcPr>
            <w:tcW w:type="dxa" w:w="1134"/>
            <w:shd w:fill="F2F2F2" w:val="clear"/>
          </w:tcPr>
          <w:p>
            <w:r>
              <w:rPr>
                <w:sz w:val="18"/>
              </w:rPr>
              <w:t>Same as principal offence</w:t>
            </w:r>
          </w:p>
        </w:tc>
        <w:tc>
          <w:tcPr>
            <w:tcW w:type="dxa" w:w="1417"/>
            <w:shd w:fill="F2F2F2" w:val="clear"/>
          </w:tcPr>
          <w:p>
            <w:r>
              <w:rPr>
                <w:sz w:val="18"/>
              </w:rPr>
              <w:t>CoP-2026-001, CoP-2026-002</w:t>
            </w:r>
          </w:p>
        </w:tc>
      </w:tr>
    </w:tbl>
    <w:p>
      <w:r>
        <w:br w:type="page"/>
      </w:r>
    </w:p>
    <w:p>
      <w:pPr>
        <w:pStyle w:val="Heading1"/>
      </w:pPr>
      <w:r>
        <w:t>Lampiran C — Peringkat Keterukan / Severity Definitions</w:t>
      </w:r>
    </w:p>
    <w:tbl>
      <w:tblPr>
        <w:tblStyle w:val="TableGrid"/>
        <w:tblW w:type="auto" w:w="0"/>
        <w:jc w:val="center"/>
        <w:tblLook w:firstColumn="1" w:firstRow="1" w:lastColumn="0" w:lastRow="0" w:noHBand="0" w:noVBand="1" w:val="04A0"/>
      </w:tblPr>
      <w:tblGrid>
        <w:gridCol w:w="2880"/>
        <w:gridCol w:w="2880"/>
        <w:gridCol w:w="2880"/>
      </w:tblGrid>
      <w:tr>
        <w:tc>
          <w:tcPr>
            <w:tcW w:type="dxa" w:w="1417"/>
            <w:shd w:fill="1F4E79" w:val="clear"/>
          </w:tcPr>
          <w:p>
            <w:pPr/>
            <w:r>
              <w:rPr>
                <w:b/>
                <w:color w:val="FFFFFF"/>
                <w:sz w:val="18"/>
              </w:rPr>
              <w:t>Keterukan / Severity</w:t>
            </w:r>
          </w:p>
        </w:tc>
        <w:tc>
          <w:tcPr>
            <w:tcW w:type="dxa" w:w="5669"/>
            <w:shd w:fill="1F4E79" w:val="clear"/>
          </w:tcPr>
          <w:p>
            <w:pPr/>
            <w:r>
              <w:rPr>
                <w:b/>
                <w:color w:val="FFFFFF"/>
                <w:sz w:val="18"/>
              </w:rPr>
              <w:t>Definisi / Definition</w:t>
            </w:r>
          </w:p>
        </w:tc>
        <w:tc>
          <w:tcPr>
            <w:tcW w:type="dxa" w:w="1984"/>
            <w:shd w:fill="1F4E79" w:val="clear"/>
          </w:tcPr>
          <w:p>
            <w:pPr/>
            <w:r>
              <w:rPr>
                <w:b/>
                <w:color w:val="FFFFFF"/>
                <w:sz w:val="18"/>
              </w:rPr>
              <w:t>Sasaran Pemulihan / Remediation Target</w:t>
            </w:r>
          </w:p>
        </w:tc>
      </w:tr>
      <w:tr>
        <w:tc>
          <w:tcPr>
            <w:tcW w:type="dxa" w:w="1417"/>
          </w:tcPr>
          <w:p>
            <w:r>
              <w:rPr>
                <w:sz w:val="18"/>
              </w:rPr>
              <w:t>Kritikal</w:t>
              <w:br/>
              <w:t>(Critical)</w:t>
            </w:r>
          </w:p>
        </w:tc>
        <w:tc>
          <w:tcPr>
            <w:tcW w:type="dxa" w:w="5669"/>
          </w:tcPr>
          <w:p>
            <w:r>
              <w:rPr>
                <w:sz w:val="18"/>
              </w:rPr>
              <w:t>Direct and immediate threat to NCII. Exploitation likely or occurring. National-level impact on essential services. Criminal liability exposure under Act 854. Triggers s52 director liability assessment. Remediation: 30 days.</w:t>
            </w:r>
          </w:p>
        </w:tc>
        <w:tc>
          <w:tcPr>
            <w:tcW w:type="dxa" w:w="1984"/>
          </w:tcPr>
          <w:p>
            <w:r>
              <w:rPr>
                <w:sz w:val="18"/>
              </w:rPr>
              <w:t>30 hari / 30 days</w:t>
            </w:r>
          </w:p>
        </w:tc>
      </w:tr>
      <w:tr>
        <w:tc>
          <w:tcPr>
            <w:tcW w:type="dxa" w:w="1417"/>
            <w:shd w:fill="F2F2F2" w:val="clear"/>
          </w:tcPr>
          <w:p>
            <w:r>
              <w:rPr>
                <w:sz w:val="18"/>
              </w:rPr>
              <w:t>Tinggi</w:t>
              <w:br/>
              <w:t>(High)</w:t>
            </w:r>
          </w:p>
        </w:tc>
        <w:tc>
          <w:tcPr>
            <w:tcW w:type="dxa" w:w="5669"/>
            <w:shd w:fill="F2F2F2" w:val="clear"/>
          </w:tcPr>
          <w:p>
            <w:r>
              <w:rPr>
                <w:sz w:val="18"/>
              </w:rPr>
              <w:t>Significant vulnerability that could compromise NCII. Material impact on essential services. Non-compliance with statutory obligation (s17-s27) or critical CoP control. Remediation: 90 days.</w:t>
            </w:r>
          </w:p>
        </w:tc>
        <w:tc>
          <w:tcPr>
            <w:tcW w:type="dxa" w:w="1984"/>
            <w:shd w:fill="F2F2F2" w:val="clear"/>
          </w:tcPr>
          <w:p>
            <w:r>
              <w:rPr>
                <w:sz w:val="18"/>
              </w:rPr>
              <w:t>90 hari / 90 days</w:t>
            </w:r>
          </w:p>
        </w:tc>
      </w:tr>
      <w:tr>
        <w:tc>
          <w:tcPr>
            <w:tcW w:type="dxa" w:w="1417"/>
          </w:tcPr>
          <w:p>
            <w:r>
              <w:rPr>
                <w:sz w:val="18"/>
              </w:rPr>
              <w:t>Sederhana</w:t>
              <w:br/>
              <w:t>(Medium)</w:t>
            </w:r>
          </w:p>
        </w:tc>
        <w:tc>
          <w:tcPr>
            <w:tcW w:type="dxa" w:w="5669"/>
          </w:tcPr>
          <w:p>
            <w:r>
              <w:rPr>
                <w:sz w:val="18"/>
              </w:rPr>
              <w:t>Moderate risk — exploitation requires additional factors. Compensating controls partially mitigate. Non-compliance with CoP requirement. Remediation: 180 days.</w:t>
            </w:r>
          </w:p>
        </w:tc>
        <w:tc>
          <w:tcPr>
            <w:tcW w:type="dxa" w:w="1984"/>
          </w:tcPr>
          <w:p>
            <w:r>
              <w:rPr>
                <w:sz w:val="18"/>
              </w:rPr>
              <w:t>180 hari / 180 days</w:t>
            </w:r>
          </w:p>
        </w:tc>
      </w:tr>
      <w:tr>
        <w:tc>
          <w:tcPr>
            <w:tcW w:type="dxa" w:w="1417"/>
            <w:shd w:fill="F2F2F2" w:val="clear"/>
          </w:tcPr>
          <w:p>
            <w:r>
              <w:rPr>
                <w:sz w:val="18"/>
              </w:rPr>
              <w:t>Rendah</w:t>
              <w:br/>
              <w:t>(Low)</w:t>
            </w:r>
          </w:p>
        </w:tc>
        <w:tc>
          <w:tcPr>
            <w:tcW w:type="dxa" w:w="5669"/>
            <w:shd w:fill="F2F2F2" w:val="clear"/>
          </w:tcPr>
          <w:p>
            <w:r>
              <w:rPr>
                <w:sz w:val="18"/>
              </w:rPr>
              <w:t>Minor risk — theoretical vulnerability with low likelihood. Limited impact. Documentation or process gap. Remediation: next audit cycle.</w:t>
            </w:r>
          </w:p>
        </w:tc>
        <w:tc>
          <w:tcPr>
            <w:tcW w:type="dxa" w:w="1984"/>
            <w:shd w:fill="F2F2F2" w:val="clear"/>
          </w:tcPr>
          <w:p>
            <w:r>
              <w:rPr>
                <w:sz w:val="18"/>
              </w:rPr>
              <w:t>Kitaran audit seterusnya / Next audit cycle</w:t>
            </w:r>
          </w:p>
        </w:tc>
      </w:tr>
    </w:tbl>
    <w:p>
      <w:r>
        <w:br w:type="page"/>
      </w:r>
    </w:p>
    <w:p>
      <w:pPr>
        <w:pStyle w:val="Heading1"/>
      </w:pPr>
      <w:r>
        <w:t>Lampiran D — Glosari / Glossary</w:t>
      </w:r>
    </w:p>
    <w:tbl>
      <w:tblPr>
        <w:tblStyle w:val="TableGrid"/>
        <w:tblW w:type="auto" w:w="0"/>
        <w:jc w:val="center"/>
        <w:tblLook w:firstColumn="1" w:firstRow="1" w:lastColumn="0" w:lastRow="0" w:noHBand="0" w:noVBand="1" w:val="04A0"/>
      </w:tblPr>
      <w:tblGrid>
        <w:gridCol w:w="4320"/>
        <w:gridCol w:w="4320"/>
      </w:tblGrid>
      <w:tr>
        <w:tc>
          <w:tcPr>
            <w:tcW w:type="dxa" w:w="1701"/>
            <w:shd w:fill="1F4E79" w:val="clear"/>
          </w:tcPr>
          <w:p>
            <w:pPr/>
            <w:r>
              <w:rPr>
                <w:b/>
                <w:color w:val="FFFFFF"/>
                <w:sz w:val="18"/>
              </w:rPr>
              <w:t>Istilah / Term</w:t>
            </w:r>
          </w:p>
        </w:tc>
        <w:tc>
          <w:tcPr>
            <w:tcW w:type="dxa" w:w="7370"/>
            <w:shd w:fill="1F4E79" w:val="clear"/>
          </w:tcPr>
          <w:p>
            <w:pPr/>
            <w:r>
              <w:rPr>
                <w:b/>
                <w:color w:val="FFFFFF"/>
                <w:sz w:val="18"/>
              </w:rPr>
              <w:t>Definisi / Definition</w:t>
            </w:r>
          </w:p>
        </w:tc>
      </w:tr>
      <w:tr>
        <w:tc>
          <w:tcPr>
            <w:tcW w:type="dxa" w:w="1701"/>
          </w:tcPr>
          <w:p>
            <w:r>
              <w:rPr>
                <w:sz w:val="18"/>
              </w:rPr>
              <w:t>Act 854</w:t>
            </w:r>
          </w:p>
        </w:tc>
        <w:tc>
          <w:tcPr>
            <w:tcW w:type="dxa" w:w="7370"/>
          </w:tcPr>
          <w:p>
            <w:r>
              <w:rPr>
                <w:sz w:val="18"/>
              </w:rPr>
              <w:t>Cyber Security Act 2024 / Akta Keselamatan Siber 2024</w:t>
            </w:r>
          </w:p>
        </w:tc>
      </w:tr>
      <w:tr>
        <w:tc>
          <w:tcPr>
            <w:tcW w:type="dxa" w:w="1701"/>
            <w:shd w:fill="F2F2F2" w:val="clear"/>
          </w:tcPr>
          <w:p>
            <w:r>
              <w:rPr>
                <w:sz w:val="18"/>
              </w:rPr>
              <w:t>BIA</w:t>
            </w:r>
          </w:p>
        </w:tc>
        <w:tc>
          <w:tcPr>
            <w:tcW w:type="dxa" w:w="7370"/>
            <w:shd w:fill="F2F2F2" w:val="clear"/>
          </w:tcPr>
          <w:p>
            <w:r>
              <w:rPr>
                <w:sz w:val="18"/>
              </w:rPr>
              <w:t>Business Impact Analysis</w:t>
            </w:r>
          </w:p>
        </w:tc>
      </w:tr>
      <w:tr>
        <w:tc>
          <w:tcPr>
            <w:tcW w:type="dxa" w:w="1701"/>
          </w:tcPr>
          <w:p>
            <w:r>
              <w:rPr>
                <w:sz w:val="18"/>
              </w:rPr>
              <w:t>CAB</w:t>
            </w:r>
          </w:p>
        </w:tc>
        <w:tc>
          <w:tcPr>
            <w:tcW w:type="dxa" w:w="7370"/>
          </w:tcPr>
          <w:p>
            <w:r>
              <w:rPr>
                <w:sz w:val="18"/>
              </w:rPr>
              <w:t>Change Advisory Board</w:t>
            </w:r>
          </w:p>
        </w:tc>
      </w:tr>
      <w:tr>
        <w:tc>
          <w:tcPr>
            <w:tcW w:type="dxa" w:w="1701"/>
            <w:shd w:fill="F2F2F2" w:val="clear"/>
          </w:tcPr>
          <w:p>
            <w:r>
              <w:rPr>
                <w:sz w:val="18"/>
              </w:rPr>
              <w:t>CE</w:t>
            </w:r>
          </w:p>
        </w:tc>
        <w:tc>
          <w:tcPr>
            <w:tcW w:type="dxa" w:w="7370"/>
            <w:shd w:fill="F2F2F2" w:val="clear"/>
          </w:tcPr>
          <w:p>
            <w:r>
              <w:rPr>
                <w:sz w:val="18"/>
              </w:rPr>
              <w:t>Chief Executive, NACSA / Ketua Eksekutif, NACSA</w:t>
            </w:r>
          </w:p>
        </w:tc>
      </w:tr>
      <w:tr>
        <w:tc>
          <w:tcPr>
            <w:tcW w:type="dxa" w:w="1701"/>
          </w:tcPr>
          <w:p>
            <w:r>
              <w:rPr>
                <w:sz w:val="18"/>
              </w:rPr>
              <w:t>CoP</w:t>
            </w:r>
          </w:p>
        </w:tc>
        <w:tc>
          <w:tcPr>
            <w:tcW w:type="dxa" w:w="7370"/>
          </w:tcPr>
          <w:p>
            <w:r>
              <w:rPr>
                <w:sz w:val="18"/>
              </w:rPr>
              <w:t>Code of Practice / Tataamalan</w:t>
            </w:r>
          </w:p>
        </w:tc>
      </w:tr>
      <w:tr>
        <w:tc>
          <w:tcPr>
            <w:tcW w:type="dxa" w:w="1701"/>
            <w:shd w:fill="F2F2F2" w:val="clear"/>
          </w:tcPr>
          <w:p>
            <w:r>
              <w:rPr>
                <w:sz w:val="18"/>
              </w:rPr>
              <w:t>CSIMP</w:t>
            </w:r>
          </w:p>
        </w:tc>
        <w:tc>
          <w:tcPr>
            <w:tcW w:type="dxa" w:w="7370"/>
            <w:shd w:fill="F2F2F2" w:val="clear"/>
          </w:tcPr>
          <w:p>
            <w:r>
              <w:rPr>
                <w:sz w:val="18"/>
              </w:rPr>
              <w:t>Cyber Security Incident Management Plan / Prosedur Pengurusan Insiden Keselamatan Siber</w:t>
            </w:r>
          </w:p>
        </w:tc>
      </w:tr>
      <w:tr>
        <w:tc>
          <w:tcPr>
            <w:tcW w:type="dxa" w:w="1701"/>
          </w:tcPr>
          <w:p>
            <w:r>
              <w:rPr>
                <w:sz w:val="18"/>
              </w:rPr>
              <w:t>CSIRT</w:t>
            </w:r>
          </w:p>
        </w:tc>
        <w:tc>
          <w:tcPr>
            <w:tcW w:type="dxa" w:w="7370"/>
          </w:tcPr>
          <w:p>
            <w:r>
              <w:rPr>
                <w:sz w:val="18"/>
              </w:rPr>
              <w:t>Cyber Security Incident Response Team</w:t>
            </w:r>
          </w:p>
        </w:tc>
      </w:tr>
      <w:tr>
        <w:tc>
          <w:tcPr>
            <w:tcW w:type="dxa" w:w="1701"/>
            <w:shd w:fill="F2F2F2" w:val="clear"/>
          </w:tcPr>
          <w:p>
            <w:r>
              <w:rPr>
                <w:sz w:val="18"/>
              </w:rPr>
              <w:t>CSSP</w:t>
            </w:r>
          </w:p>
        </w:tc>
        <w:tc>
          <w:tcPr>
            <w:tcW w:type="dxa" w:w="7370"/>
            <w:shd w:fill="F2F2F2" w:val="clear"/>
          </w:tcPr>
          <w:p>
            <w:r>
              <w:rPr>
                <w:sz w:val="18"/>
              </w:rPr>
              <w:t>Cyber Security Service Provider</w:t>
            </w:r>
          </w:p>
        </w:tc>
      </w:tr>
      <w:tr>
        <w:tc>
          <w:tcPr>
            <w:tcW w:type="dxa" w:w="1701"/>
          </w:tcPr>
          <w:p>
            <w:r>
              <w:rPr>
                <w:sz w:val="18"/>
              </w:rPr>
              <w:t>DLP</w:t>
            </w:r>
          </w:p>
        </w:tc>
        <w:tc>
          <w:tcPr>
            <w:tcW w:type="dxa" w:w="7370"/>
          </w:tcPr>
          <w:p>
            <w:r>
              <w:rPr>
                <w:sz w:val="18"/>
              </w:rPr>
              <w:t>Data Leakage Prevention</w:t>
            </w:r>
          </w:p>
        </w:tc>
      </w:tr>
      <w:tr>
        <w:tc>
          <w:tcPr>
            <w:tcW w:type="dxa" w:w="1701"/>
            <w:shd w:fill="F2F2F2" w:val="clear"/>
          </w:tcPr>
          <w:p>
            <w:r>
              <w:rPr>
                <w:sz w:val="18"/>
              </w:rPr>
              <w:t>IKMN</w:t>
            </w:r>
          </w:p>
        </w:tc>
        <w:tc>
          <w:tcPr>
            <w:tcW w:type="dxa" w:w="7370"/>
            <w:shd w:fill="F2F2F2" w:val="clear"/>
          </w:tcPr>
          <w:p>
            <w:r>
              <w:rPr>
                <w:sz w:val="18"/>
              </w:rPr>
              <w:t>Infrastruktur Maklumat Kritikal Negara (NCII)</w:t>
            </w:r>
          </w:p>
        </w:tc>
      </w:tr>
      <w:tr>
        <w:tc>
          <w:tcPr>
            <w:tcW w:type="dxa" w:w="1701"/>
          </w:tcPr>
          <w:p>
            <w:r>
              <w:rPr>
                <w:sz w:val="18"/>
              </w:rPr>
              <w:t>MAP</w:t>
            </w:r>
          </w:p>
        </w:tc>
        <w:tc>
          <w:tcPr>
            <w:tcW w:type="dxa" w:w="7370"/>
          </w:tcPr>
          <w:p>
            <w:r>
              <w:rPr>
                <w:sz w:val="18"/>
              </w:rPr>
              <w:t>Management Action Plan / Pelan Tindakan Pengurusan</w:t>
            </w:r>
          </w:p>
        </w:tc>
      </w:tr>
      <w:tr>
        <w:tc>
          <w:tcPr>
            <w:tcW w:type="dxa" w:w="1701"/>
            <w:shd w:fill="F2F2F2" w:val="clear"/>
          </w:tcPr>
          <w:p>
            <w:r>
              <w:rPr>
                <w:sz w:val="18"/>
              </w:rPr>
              <w:t>MTTD</w:t>
            </w:r>
          </w:p>
        </w:tc>
        <w:tc>
          <w:tcPr>
            <w:tcW w:type="dxa" w:w="7370"/>
            <w:shd w:fill="F2F2F2" w:val="clear"/>
          </w:tcPr>
          <w:p>
            <w:r>
              <w:rPr>
                <w:sz w:val="18"/>
              </w:rPr>
              <w:t>Mean Time to Detect</w:t>
            </w:r>
          </w:p>
        </w:tc>
      </w:tr>
      <w:tr>
        <w:tc>
          <w:tcPr>
            <w:tcW w:type="dxa" w:w="1701"/>
          </w:tcPr>
          <w:p>
            <w:r>
              <w:rPr>
                <w:sz w:val="18"/>
              </w:rPr>
              <w:t>MTTR</w:t>
            </w:r>
          </w:p>
        </w:tc>
        <w:tc>
          <w:tcPr>
            <w:tcW w:type="dxa" w:w="7370"/>
          </w:tcPr>
          <w:p>
            <w:r>
              <w:rPr>
                <w:sz w:val="18"/>
              </w:rPr>
              <w:t>Mean Time to Respond</w:t>
            </w:r>
          </w:p>
        </w:tc>
      </w:tr>
      <w:tr>
        <w:tc>
          <w:tcPr>
            <w:tcW w:type="dxa" w:w="1701"/>
            <w:shd w:fill="F2F2F2" w:val="clear"/>
          </w:tcPr>
          <w:p>
            <w:r>
              <w:rPr>
                <w:sz w:val="18"/>
              </w:rPr>
              <w:t>NC4</w:t>
            </w:r>
          </w:p>
        </w:tc>
        <w:tc>
          <w:tcPr>
            <w:tcW w:type="dxa" w:w="7370"/>
            <w:shd w:fill="F2F2F2" w:val="clear"/>
          </w:tcPr>
          <w:p>
            <w:r>
              <w:rPr>
                <w:sz w:val="18"/>
              </w:rPr>
              <w:t>National Cyber Coordination and Command Centre</w:t>
            </w:r>
          </w:p>
        </w:tc>
      </w:tr>
      <w:tr>
        <w:tc>
          <w:tcPr>
            <w:tcW w:type="dxa" w:w="1701"/>
          </w:tcPr>
          <w:p>
            <w:r>
              <w:rPr>
                <w:sz w:val="18"/>
              </w:rPr>
              <w:t>NCII</w:t>
            </w:r>
          </w:p>
        </w:tc>
        <w:tc>
          <w:tcPr>
            <w:tcW w:type="dxa" w:w="7370"/>
          </w:tcPr>
          <w:p>
            <w:r>
              <w:rPr>
                <w:sz w:val="18"/>
              </w:rPr>
              <w:t>National Critical Information Infrastructure / IKMN</w:t>
            </w:r>
          </w:p>
        </w:tc>
      </w:tr>
      <w:tr>
        <w:tc>
          <w:tcPr>
            <w:tcW w:type="dxa" w:w="1701"/>
            <w:shd w:fill="F2F2F2" w:val="clear"/>
          </w:tcPr>
          <w:p>
            <w:r>
              <w:rPr>
                <w:sz w:val="18"/>
              </w:rPr>
              <w:t>NCSB</w:t>
            </w:r>
          </w:p>
        </w:tc>
        <w:tc>
          <w:tcPr>
            <w:tcW w:type="dxa" w:w="7370"/>
            <w:shd w:fill="F2F2F2" w:val="clear"/>
          </w:tcPr>
          <w:p>
            <w:r>
              <w:rPr>
                <w:sz w:val="18"/>
              </w:rPr>
              <w:t>National Cyber Security Baseline</w:t>
            </w:r>
          </w:p>
        </w:tc>
      </w:tr>
      <w:tr>
        <w:tc>
          <w:tcPr>
            <w:tcW w:type="dxa" w:w="1701"/>
          </w:tcPr>
          <w:p>
            <w:r>
              <w:rPr>
                <w:sz w:val="18"/>
              </w:rPr>
              <w:t>P</w:t>
            </w:r>
          </w:p>
        </w:tc>
        <w:tc>
          <w:tcPr>
            <w:tcW w:type="dxa" w:w="7370"/>
          </w:tcPr>
          <w:p>
            <w:r>
              <w:rPr>
                <w:sz w:val="18"/>
              </w:rPr>
              <w:t>Patuh / Compliant</w:t>
            </w:r>
          </w:p>
        </w:tc>
      </w:tr>
      <w:tr>
        <w:tc>
          <w:tcPr>
            <w:tcW w:type="dxa" w:w="1701"/>
            <w:shd w:fill="F2F2F2" w:val="clear"/>
          </w:tcPr>
          <w:p>
            <w:r>
              <w:rPr>
                <w:sz w:val="18"/>
              </w:rPr>
              <w:t>PAM</w:t>
            </w:r>
          </w:p>
        </w:tc>
        <w:tc>
          <w:tcPr>
            <w:tcW w:type="dxa" w:w="7370"/>
            <w:shd w:fill="F2F2F2" w:val="clear"/>
          </w:tcPr>
          <w:p>
            <w:r>
              <w:rPr>
                <w:sz w:val="18"/>
              </w:rPr>
              <w:t>Privileged Access Management</w:t>
            </w:r>
          </w:p>
        </w:tc>
      </w:tr>
      <w:tr>
        <w:tc>
          <w:tcPr>
            <w:tcW w:type="dxa" w:w="1701"/>
          </w:tcPr>
          <w:p>
            <w:r>
              <w:rPr>
                <w:sz w:val="18"/>
              </w:rPr>
              <w:t>P.U.(A)</w:t>
            </w:r>
          </w:p>
        </w:tc>
        <w:tc>
          <w:tcPr>
            <w:tcW w:type="dxa" w:w="7370"/>
          </w:tcPr>
          <w:p>
            <w:r>
              <w:rPr>
                <w:sz w:val="18"/>
              </w:rPr>
              <w:t>Subsidiary legislation / Perundangan Undang-Undang</w:t>
            </w:r>
          </w:p>
        </w:tc>
      </w:tr>
      <w:tr>
        <w:tc>
          <w:tcPr>
            <w:tcW w:type="dxa" w:w="1701"/>
            <w:shd w:fill="F2F2F2" w:val="clear"/>
          </w:tcPr>
          <w:p>
            <w:r>
              <w:rPr>
                <w:sz w:val="18"/>
              </w:rPr>
              <w:t>Rumusan</w:t>
            </w:r>
          </w:p>
        </w:tc>
        <w:tc>
          <w:tcPr>
            <w:tcW w:type="dxa" w:w="7370"/>
            <w:shd w:fill="F2F2F2" w:val="clear"/>
          </w:tcPr>
          <w:p>
            <w:r>
              <w:rPr>
                <w:sz w:val="18"/>
              </w:rPr>
              <w:t>Conclusion / Summary</w:t>
            </w:r>
          </w:p>
        </w:tc>
      </w:tr>
      <w:tr>
        <w:tc>
          <w:tcPr>
            <w:tcW w:type="dxa" w:w="1701"/>
          </w:tcPr>
          <w:p>
            <w:r>
              <w:rPr>
                <w:sz w:val="18"/>
              </w:rPr>
              <w:t>SMP</w:t>
            </w:r>
          </w:p>
        </w:tc>
        <w:tc>
          <w:tcPr>
            <w:tcW w:type="dxa" w:w="7370"/>
          </w:tcPr>
          <w:p>
            <w:r>
              <w:rPr>
                <w:sz w:val="18"/>
              </w:rPr>
              <w:t>Security Monitoring Procedure</w:t>
            </w:r>
          </w:p>
        </w:tc>
      </w:tr>
      <w:tr>
        <w:tc>
          <w:tcPr>
            <w:tcW w:type="dxa" w:w="1701"/>
            <w:shd w:fill="F2F2F2" w:val="clear"/>
          </w:tcPr>
          <w:p>
            <w:r>
              <w:rPr>
                <w:sz w:val="18"/>
              </w:rPr>
              <w:t>SP</w:t>
            </w:r>
          </w:p>
        </w:tc>
        <w:tc>
          <w:tcPr>
            <w:tcW w:type="dxa" w:w="7370"/>
            <w:shd w:fill="F2F2F2" w:val="clear"/>
          </w:tcPr>
          <w:p>
            <w:r>
              <w:rPr>
                <w:sz w:val="18"/>
              </w:rPr>
              <w:t>Separa Patuh / Partially Compliant</w:t>
            </w:r>
          </w:p>
        </w:tc>
      </w:tr>
      <w:tr>
        <w:tc>
          <w:tcPr>
            <w:tcW w:type="dxa" w:w="1701"/>
          </w:tcPr>
          <w:p>
            <w:r>
              <w:rPr>
                <w:sz w:val="18"/>
              </w:rPr>
              <w:t>TB</w:t>
            </w:r>
          </w:p>
        </w:tc>
        <w:tc>
          <w:tcPr>
            <w:tcW w:type="dxa" w:w="7370"/>
          </w:tcPr>
          <w:p>
            <w:r>
              <w:rPr>
                <w:sz w:val="18"/>
              </w:rPr>
              <w:t>Tidak Berkenaan / Not Applicable</w:t>
            </w:r>
          </w:p>
        </w:tc>
      </w:tr>
      <w:tr>
        <w:tc>
          <w:tcPr>
            <w:tcW w:type="dxa" w:w="1701"/>
            <w:shd w:fill="F2F2F2" w:val="clear"/>
          </w:tcPr>
          <w:p>
            <w:r>
              <w:rPr>
                <w:sz w:val="18"/>
              </w:rPr>
              <w:t>TP</w:t>
            </w:r>
          </w:p>
        </w:tc>
        <w:tc>
          <w:tcPr>
            <w:tcW w:type="dxa" w:w="7370"/>
            <w:shd w:fill="F2F2F2" w:val="clear"/>
          </w:tcPr>
          <w:p>
            <w:r>
              <w:rPr>
                <w:sz w:val="18"/>
              </w:rPr>
              <w:t>Tidak Patuh / Non-Compliant</w:t>
            </w:r>
          </w:p>
        </w:tc>
      </w:tr>
      <w:tr>
        <w:tc>
          <w:tcPr>
            <w:tcW w:type="dxa" w:w="1701"/>
          </w:tcPr>
          <w:p>
            <w:r>
              <w:rPr>
                <w:sz w:val="18"/>
              </w:rPr>
              <w:t>VMP</w:t>
            </w:r>
          </w:p>
        </w:tc>
        <w:tc>
          <w:tcPr>
            <w:tcW w:type="dxa" w:w="7370"/>
          </w:tcPr>
          <w:p>
            <w:r>
              <w:rPr>
                <w:sz w:val="18"/>
              </w:rPr>
              <w:t>Vulnerability Management Programme</w:t>
            </w:r>
          </w:p>
        </w:tc>
      </w:tr>
    </w:tbl>
    <w:p>
      <w:r>
        <w:br w:type="page"/>
      </w:r>
    </w:p>
    <w:p>
      <w:pPr>
        <w:pStyle w:val="Heading1"/>
      </w:pPr>
      <w:r>
        <w:t>Tandatangan / Sign-Off</w:t>
      </w:r>
    </w:p>
    <w:p>
      <w:r>
        <w:rPr>
          <w:b/>
        </w:rPr>
        <w:t xml:space="preserve">Disediakan oleh / Prepared by: </w:t>
      </w:r>
      <w:r>
        <w:t>Ketua Juruaudit / Lead Auditor</w:t>
        <w:br/>
      </w:r>
      <w:r>
        <w:t>Nama / Name: Ahmad Faizal bin Mohd Noor</w:t>
        <w:br/>
      </w:r>
      <w:r>
        <w:t>Tarikh / Date: 24/02/2026</w:t>
        <w:br/>
      </w:r>
      <w:r>
        <w:t>Tandatangan / Signature: _________________________</w:t>
      </w:r>
    </w:p>
    <w:p/>
    <w:p>
      <w:r>
        <w:rPr>
          <w:b/>
        </w:rPr>
        <w:t xml:space="preserve">Disemak oleh / Reviewed by: </w:t>
      </w:r>
      <w:r>
        <w:t>Rakan Kongsi Jaminan / Engagement Partner</w:t>
        <w:br/>
      </w:r>
      <w:r>
        <w:t>Nama / Name: Dato' Ir. Razlan Hashim</w:t>
        <w:br/>
      </w:r>
      <w:r>
        <w:t>Tarikh / Date: 24/02/2026</w:t>
        <w:br/>
      </w:r>
      <w:r>
        <w:t>Tandatangan / Signature: _________________________</w:t>
      </w:r>
    </w:p>
    <w:p/>
    <w:p>
      <w:r>
        <w:rPr>
          <w:b/>
        </w:rPr>
        <w:t xml:space="preserve">Semakan undang-undang / Legal review (Mode A): </w:t>
      </w:r>
      <w:r>
        <w:t>Pengamal Undang-Undang / Legal Practitioner</w:t>
        <w:br/>
      </w:r>
      <w:r>
        <w:t>Nama / Name: Puan Siti Nurhaliza binti Ahmad</w:t>
        <w:br/>
      </w:r>
      <w:r>
        <w:t>Tarikh / Date: 23/02/2026</w:t>
        <w:br/>
      </w:r>
      <w:r>
        <w:t>Tandatangan / Signature: _________________________</w:t>
      </w:r>
    </w:p>
    <w:p/>
    <w:p>
      <w:r>
        <w:rPr>
          <w:b/>
        </w:rPr>
        <w:t xml:space="preserve">Pengesahan entiti / Entity confirmation: </w:t>
      </w:r>
      <w:r>
        <w:t>Pegawai Diberi Kuasa / Authorised Officer — CEO</w:t>
        <w:br/>
      </w:r>
      <w:r>
        <w:t>Nama / Name: Encik Kamal bin Yusoff</w:t>
        <w:br/>
      </w:r>
      <w:r>
        <w:t>Tarikh / Date: 24/02/2026</w:t>
        <w:br/>
      </w:r>
      <w:r>
        <w:t>Tandatangan / Signature: _________________________</w:t>
      </w:r>
    </w:p>
    <w:p/>
    <w:p>
      <w:r>
        <w:rPr>
          <w:b/>
        </w:rPr>
        <w:t xml:space="preserve">Dihantar kepada NACSA / Submitted to NACSA: </w:t>
      </w:r>
      <w:r>
        <w:t>Via auditpematuhan@nacsa.gov.my</w:t>
        <w:br/>
      </w:r>
      <w:r>
        <w:t>Nama / Name: Salinan 1 / Copy 1</w:t>
        <w:br/>
      </w:r>
      <w:r>
        <w:t>Tarikh / Date: 26/02/2026</w:t>
        <w:br/>
      </w:r>
      <w:r>
        <w:t>Tandatangan / Signature: _________________________</w:t>
      </w:r>
    </w:p>
    <w:p/>
    <w:p/>
    <w:p>
      <w:r>
        <w:rPr>
          <w:i/>
          <w:sz w:val="16"/>
        </w:rPr>
        <w:t>Laporan ini hendaklah dihantar kepada Ketua Eksekutif NACSA dalam tempoh 30 hari selepas audit selesai melalui auditpematuhan@nacsa.gov.my menurut s23 dan Arahan Ketua Eksekutif 08. Tempoh penyimpanan: 7 tahun.</w:t>
        <w:br/>
        <w:t>This report must be submitted to the Chief Executive of NACSA within 30 days of audit completion via auditpematuhan@nacsa.gov.my per s23 and CE Directive 08. Retention period: 7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