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Protocolo de Control de Calidad: Ensayo de Densidad de Campo (Método del Cono de Arena)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establece el estándar técnico para la ejecución, procesamiento y evaluación del ensayo de Densidad de Campo mediante el método del Cono de Arena (normas de referencia ASTM D1556 / AASHTO T191), aplicado al control de calidad de capas conformadas en proyectos carreteros (Subrasante, Subbase y Base Granular).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Datos de Entrada (Inputs) y Rangos Aceptables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siguientes parámetros corresponden a las mediciones directas obtenidas en el campo y en el laboratorio móvil, así como a los valores de calibración previa del equipo. Cada input cuenta con un intervalo de variabilidad típico aceptable bajo condiciones estándar de operación: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Parámetro / Input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Unidad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Descripción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Intervalo / Rango Aceptable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Peso Inicial del Frasco con Arena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gramos (g)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Masa total del conjunto (frasco + cono + arena de Ottawa calibrada) antes de iniciar la prueba.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5000.0 a 7000.0 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Peso Final del Frasco con Arena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gramos (g)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Masa remanente en el conjunto después de llenar el cono metálico y la excavación.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2000.0 a 4500.0 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Constante del Cono (K)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gramos (g)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Masa de arena necesaria para rellenar exclusivamente el cono metálico expuesto bajo la válvula abierta.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1300.0 a 1700.0 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Densidad de la Arena de Ottawa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g/cm³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Densidad aparente de la arena estandarizada, obtenida mediante calibración rigurosa de laboratorio.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1.300 a 1.450 g/cm³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Peso del Suelo Húmedo Extraído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gramos (g)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Masa total de la muestra de suelo removida de la excavación o hueco de ensayo in situ.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2500.0 a 4500.0 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Contenido de Humedad del Suelo (w)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porcentaje (%)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Porcentaje de agua presente en el suelo extraído, medido por secado al horno o método Speedy.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4.0% a 12.0%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Densidad Máxima Seca (DMS)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g/cm³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 de referencia base determinado previamente en el laboratorio mediante el ensayo Proctor Modificado.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1.800 a 2.350 g/cm³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Óptimo Contenido de Humedad (OCH)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porcentaje (%)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Humedad ideal asociada a la curva del Proctor Modificado para lograr la máxima densificación mineral.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5.0% a 12.0%</w:t>
            </w:r>
          </w:p>
        </w:tc>
      </w:tr>
    </w:tbl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Procesamiento de los Datos de Entrada (Cálculos y Procedimiento)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procesamiento matemático para transformar las lecturas directas en indicadores de ingeniería sigue una secuencia estructurada de seis fórmulas fundamentales: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Masa Total de Arena Empleada:</w:t>
      </w:r>
      <w:r w:rsidDel="00000000" w:rsidR="00000000" w:rsidRPr="00000000">
        <w:rPr>
          <w:rFonts w:ascii="Arial" w:cs="Arial" w:eastAsia="Arial" w:hAnsi="Arial"/>
          <w:rtl w:val="0"/>
        </w:rPr>
        <w:t xml:space="preserve"> Determina cuánta arena salió del recipiente cilíndrico.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Ecuación: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Masa Utilizada (g) = Peso Inicial del Frasco - Peso Final del Frasco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Masa de Arena en la Excavación: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Descuenta la porción de arena que llenó únicamente el cono metálico expuesto de la placa base.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Ecuación: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Masa en el Hueco (g) = Masa Utilizada - Constante del Cono (K)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Determinación del Volumen del Hueco:</w:t>
      </w:r>
      <w:r w:rsidDel="00000000" w:rsidR="00000000" w:rsidRPr="00000000">
        <w:rPr>
          <w:rFonts w:ascii="Arial" w:cs="Arial" w:eastAsia="Arial" w:hAnsi="Arial"/>
          <w:rtl w:val="0"/>
        </w:rPr>
        <w:t xml:space="preserve"> Traduce el peso de la arena en una dimensión física de volumen utilizando su densidad calibrada.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Ecuación: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Volumen del Hueco (cm³) = Masa en el Hueco / Densidad de la Arena de Ottawa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Cálculo de la Densidad Húmeda de Campo:</w:t>
      </w:r>
      <w:r w:rsidDel="00000000" w:rsidR="00000000" w:rsidRPr="00000000">
        <w:rPr>
          <w:rFonts w:ascii="Arial" w:cs="Arial" w:eastAsia="Arial" w:hAnsi="Arial"/>
          <w:rtl w:val="0"/>
        </w:rPr>
        <w:t xml:space="preserve"> Evalúa la relación de masa de suelo por volumen excavado antes del secado.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Ecuación: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Densidad Húmeda (g/cm³) = Peso del Suelo Húmedo Extraído / Volumen del Hueco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Cálculo de la Densidad Seca de Campo:</w:t>
      </w:r>
      <w:r w:rsidDel="00000000" w:rsidR="00000000" w:rsidRPr="00000000">
        <w:rPr>
          <w:rFonts w:ascii="Arial" w:cs="Arial" w:eastAsia="Arial" w:hAnsi="Arial"/>
          <w:rtl w:val="0"/>
        </w:rPr>
        <w:t xml:space="preserve"> Corrige y elimina el aporte del agua en el peso para medir exclusivamente la estructura sólida del suelo.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Ecuación: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Densidad Seca de Campo (g/cm³) = Densidad Húmeda / [1 + (Contenido de Humedad / 100)]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Determinación del Grado de Compactación (GC):</w:t>
      </w:r>
      <w:r w:rsidDel="00000000" w:rsidR="00000000" w:rsidRPr="00000000">
        <w:rPr>
          <w:rFonts w:ascii="Arial" w:cs="Arial" w:eastAsia="Arial" w:hAnsi="Arial"/>
          <w:rtl w:val="0"/>
        </w:rPr>
        <w:t xml:space="preserve"> Relación porcentual que califica el rendimiento real en obra frente al patrón óptimo de laboratorio.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Ecuación: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Grado de Compactación (%) = (Densidad Seca de Campo / Densidad Máxima Seca del Proctor) x 100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Resultados Finales del Procesamiento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Una vez completado el procesamiento matemático, el sistema genera tres salidas analíticas definitivas: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Densidad Seca de Campo (g/cm³):</w:t>
      </w:r>
      <w:r w:rsidDel="00000000" w:rsidR="00000000" w:rsidRPr="00000000">
        <w:rPr>
          <w:rFonts w:ascii="Arial" w:cs="Arial" w:eastAsia="Arial" w:hAnsi="Arial"/>
          <w:rtl w:val="0"/>
        </w:rPr>
        <w:t xml:space="preserve"> Indicador físico real del grado de acomodo y empaquetamiento de las partículas sólidas de la carretera.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Contenido de Humedad Controlado (%):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porcentaje de agua medido in situ en el instante de la compactación.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Grado de Compactación Final (%):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porcentaje numérico final que determina de forma oficial la aceptación o el rechazo del tramo de obra evaluado.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Criterios de Cumplimiento y Aceptación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validar la aprobación de cada capa y autorizar el avance del proyecto hacia la siguiente fase de la estructura vial, se deben cumplir obligatoriamente las siguientes especificaciones técnicas generales:</w:t>
      </w:r>
    </w:p>
    <w:tbl>
      <w:tblPr>
        <w:tblStyle w:val="Table2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Capa del Pavimento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Criterio Mínimo de Grado de Compactación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Tolerancia de Humedad de Campo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Base Granular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2e7d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d32"/>
                <w:rtl w:val="0"/>
              </w:rPr>
              <w:t xml:space="preserve">≥ 100.0% de la DMS (Proctor Modificado)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Óptimo Contenido de Humedad (OCH) ± 1.5%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Subbase Granular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2e7d3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d32"/>
                <w:shd w:fill="auto" w:val="clear"/>
                <w:rtl w:val="0"/>
              </w:rPr>
              <w:t xml:space="preserve">≥ 98.0% de la DMS (Proctor Modificado)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Óptimo Contenido de Humedad (OCH) ± 2.0%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Subrasante (Cuerpo y Corona)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2e7d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d32"/>
                <w:rtl w:val="0"/>
              </w:rPr>
              <w:t xml:space="preserve">≥ 95.0% de la DMS (Proctor Modificado)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Óptimo Contenido de Humedad (OCH) ± 2.0%</w:t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Protocolo ante No Conformidades:</w:t>
      </w:r>
      <w:r w:rsidDel="00000000" w:rsidR="00000000" w:rsidRPr="00000000">
        <w:rPr>
          <w:rFonts w:ascii="Arial" w:cs="Arial" w:eastAsia="Arial" w:hAnsi="Arial"/>
          <w:rtl w:val="0"/>
        </w:rPr>
        <w:t xml:space="preserve"> Si el Grado de Compactación final es inferior al mínimo especificado, o si la humedad se desvía de los márgenes tolerables, el sector es rechazado por supervisión. El contratista está obligado a realizar una escarificación total del área, re-homogenizar agregando agua (si está seco) o aireando el suelo (si está sobre-saturado), y volver a compactar antes de solicitar una nueva liberación de tramo.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