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Microsoft YaHei" w:hAnsi="Microsoft YaHei" w:eastAsia="Microsoft YaHei"/>
          <w:b/>
          <w:color w:val="1F4E79"/>
          <w:sz w:val="42"/>
        </w:rPr>
        <w:t>2026年下半年工作规划</w:t>
      </w:r>
    </w:p>
    <w:p>
      <w:pPr>
        <w:jc w:val="center"/>
      </w:pPr>
      <w:r>
        <w:rPr>
          <w:rFonts w:ascii="Microsoft YaHei" w:hAnsi="Microsoft YaHei" w:eastAsia="Microsoft YaHei"/>
          <w:color w:val="595959"/>
          <w:sz w:val="24"/>
        </w:rPr>
        <w:t>结合 Q3 OKR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F4E79"/>
          <w:sz w:val="26"/>
        </w:rPr>
        <w:t>3.1 工作主线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下半年将从 H1 的“体系搭建与试点验证”，进一步转向“以增长结果验证体系价值”。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围绕 Q3 OKR，下半年工作的核心主线为：</w:t>
      </w:r>
    </w:p>
    <w:p>
      <w:pPr>
        <w:spacing w:before="120" w:after="180"/>
        <w:jc w:val="center"/>
      </w:pPr>
      <w:r>
        <w:rPr>
          <w:rFonts w:ascii="Microsoft YaHei" w:hAnsi="Microsoft YaHei" w:eastAsia="Microsoft YaHei"/>
          <w:b/>
          <w:i/>
          <w:color w:val="1F4E79"/>
          <w:sz w:val="24"/>
        </w:rPr>
        <w:t>深挖存量渠道增长潜力、加速数字化用户资产沉淀、前置布局年度营销战役与预算。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通过“渠道收入增长—爆品品类渗透—APP 用户运营—年度营销规划”四项工作，形成从业务结果、运营方法论到组织资产沉淀的闭环，持续支撑海外市场规模化增长。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F4E79"/>
          <w:sz w:val="26"/>
        </w:rPr>
        <w:t>3.2 业务 Gap 与机会点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方向</w:t>
            </w:r>
          </w:p>
        </w:tc>
        <w:tc>
          <w:tcPr>
            <w:tcW w:type="dxa" w:w="3229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 Gap</w:t>
            </w:r>
          </w:p>
        </w:tc>
        <w:tc>
          <w:tcPr>
            <w:tcW w:type="dxa" w:w="3229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下半年机会点</w:t>
            </w:r>
          </w:p>
        </w:tc>
      </w:tr>
      <w:tr>
        <w:tc>
          <w:tcPr>
            <w:tcW w:type="dxa" w:w="3229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渠道运营</w:t>
            </w:r>
          </w:p>
        </w:tc>
        <w:tc>
          <w:tcPr>
            <w:tcW w:type="dxa" w:w="3229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各国线上、线下及外卖渠道的能力结构、资源效率与增长空间尚未完成统一梳理。</w:t>
            </w:r>
          </w:p>
        </w:tc>
        <w:tc>
          <w:tcPr>
            <w:tcW w:type="dxa" w:w="3229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通过全量渠道盘点和重点试点，明确不同市场、不同渠道的增长抓手，形成标准化运营方法论。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外卖增长</w:t>
            </w:r>
          </w:p>
        </w:tc>
        <w:tc>
          <w:tcPr>
            <w:tcW w:type="dxa" w:w="322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外卖渠道具备增长空间，但产品推广、活动运营与资源投放尚需形成更清晰的组合打法。</w:t>
            </w:r>
          </w:p>
        </w:tc>
        <w:tc>
          <w:tcPr>
            <w:tcW w:type="dxa" w:w="322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围绕重点平台和重点门店开展运营投入，推动各国外卖渠道店均日流水提升。</w:t>
            </w:r>
          </w:p>
        </w:tc>
      </w:tr>
      <w:tr>
        <w:tc>
          <w:tcPr>
            <w:tcW w:type="dxa" w:w="3229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品类渗透</w:t>
            </w:r>
          </w:p>
        </w:tc>
        <w:tc>
          <w:tcPr>
            <w:tcW w:type="dxa" w:w="3229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烘焙品类需要进一步明确海外市场的产品定位、营销打法及渠道推广策略。</w:t>
            </w:r>
          </w:p>
        </w:tc>
        <w:tc>
          <w:tcPr>
            <w:tcW w:type="dxa" w:w="3229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通过烘焙专项整合营销，提升品类曝光、试购及销量，验证爆品打造方法。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数字化用户运营</w:t>
            </w:r>
          </w:p>
        </w:tc>
        <w:tc>
          <w:tcPr>
            <w:tcW w:type="dxa" w:w="322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APP 基础能力已具备规划基础，但美国、马来西亚等市场仍需进入本地化运营和用户增长阶段。</w:t>
            </w:r>
          </w:p>
        </w:tc>
        <w:tc>
          <w:tcPr>
            <w:tcW w:type="dxa" w:w="322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以注册激励、会员权益、积分体系和促活活动为抓手，推动用户资产快速增长。</w:t>
            </w:r>
          </w:p>
        </w:tc>
      </w:tr>
      <w:tr>
        <w:tc>
          <w:tcPr>
            <w:tcW w:type="dxa" w:w="3229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1F1F1F"/>
                <w:sz w:val="19"/>
              </w:rPr>
              <w:t>战略与预算前置</w:t>
            </w:r>
          </w:p>
        </w:tc>
        <w:tc>
          <w:tcPr>
            <w:tcW w:type="dxa" w:w="3229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Q4 大节点营销与 2027 年上半年营销节奏需要更早完成规划，避免资源被动投入。</w:t>
            </w:r>
          </w:p>
        </w:tc>
        <w:tc>
          <w:tcPr>
            <w:tcW w:type="dxa" w:w="3229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color w:val="1F1F1F"/>
                <w:sz w:val="19"/>
              </w:rPr>
              <w:t>建立全球营销日历、预算分配与 ROI 预估机制，提高资源配置效率和大节点执行质量。</w:t>
            </w:r>
          </w:p>
        </w:tc>
      </w:tr>
    </w:tbl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F4E79"/>
          <w:sz w:val="26"/>
        </w:rPr>
        <w:t>3.3 下半年核心目标与关键动作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/>
          <w:b/>
          <w:color w:val="000000"/>
          <w:sz w:val="23"/>
        </w:rPr>
        <w:t>目标一：深挖存量市场渠道潜力，推动外卖收入增长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围绕美国、英国、韩国、马来西亚、印尼、澳洲、哈萨克斯坦等已有业务国家，完成全量渠道能力盘点，并在核心渠道推进营销及运营试点。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核心目标：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完成各已有业务国家的渠道能力盘点；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在不少于 80% 的核心渠道完成首阶段营销或运营投入试点；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围绕外卖平台开展产品推广、活动运营及资源投放；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推动各国外卖渠道店均日流水提升 10%；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完成烘焙品类整合营销方案及各市场推广落地，实现烘焙品类销量提升 20%。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关键动作：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建立各国渠道地图，梳理外卖平台、门店、社媒、私域及线下活动等渠道的现状、能力差异和增长空间。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明确“什么国家、什么渠道、投入什么资源、解决什么问题、预期带来什么结果”的渠道运营逻辑。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围绕外卖渠道开展产品曝光、菜单优化、平台活动、资源投放及门店运营协同。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以烘焙品类作为专项验证场景，形成产品卖点、渠道推广、内容传播、试购转化和复盘优化的整合打法。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建立渠道经营数据看板，持续追踪外卖流水、活动转化、品类销量、投放效率及门店表现。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对试点项目进行复盘，沉淀国家—渠道—品类维度的运营 Playbook。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/>
          <w:b/>
          <w:color w:val="000000"/>
          <w:sz w:val="23"/>
        </w:rPr>
        <w:t>目标二：聚焦爆品与 APP 运营，加速数字化用户资产沉淀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下半年将从会员体系规划进一步走向用户运营验证，重点推动美国、马来西亚两地 APP 的本地化运营，并通过拉新与促活活动建立数字化用户增长模型。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核心目标：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完成马来西亚、美国 APP 本地化用户运营策略及落地全案；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建立注册激励、多级会员权益、积分体系等核心运营机制；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开展 APP 专项拉新与促活战役；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实现美国、马来西亚 APP 注册用户数及数字化资产总量环比增长不少于 30%；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结合烘焙专项推广，推动全球烘焙品类销量环比增长 20%。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关键动作：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结合美国、马来西亚市场特点，明确 APP 用户分层、注册路径、首单激励和会员权益设计。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推动积分、优惠券、会员等级、生日权益、推荐机制等能力与运营活动协同落地。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围绕新品、烘焙、节日节点和渠道活动设计 APP 拉新、促活、转化及复购机制。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建立用户运营漏斗，持续追踪注册、激活、首购、复购、券核销、活跃度及留存等关键指标。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形成可复制的 APP 本地化运营模板，为后续国家市场推广提供基础。</w:t>
      </w:r>
    </w:p>
    <w:p>
      <w:pPr>
        <w:pStyle w:val="Heading3"/>
        <w:spacing w:before="180" w:after="120"/>
      </w:pPr>
      <w:r>
        <w:rPr>
          <w:rFonts w:ascii="Microsoft YaHei" w:hAnsi="Microsoft YaHei" w:eastAsia="Microsoft YaHei"/>
          <w:b/>
          <w:color w:val="000000"/>
          <w:sz w:val="23"/>
        </w:rPr>
        <w:t>目标三：前置布局年度营销战略，提升预算与资源配置效率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在推进业务增长的同时，下半年将提前完成 Q4 大节点营销策略、全球预算规划及 2027 年 H1 营销日历搭建，保障营销工作从被动响应转向前置规划。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核心目标：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完成 2026 年下半年大型营销节点策略全案；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重点完成 Q4 圣诞、跨年等关键节点的营销规划；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完成全球各市场精细化预算分配方案及 ROI 预估；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倒排完成 2027 年 H1 全球营销日历；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明确 Q1、Q2 的核心产品线节点、大型营销节点及渠道活动；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提炼并锁定 2027 年 H1 核心营销 Key Point。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b/>
          <w:sz w:val="21"/>
        </w:rPr>
        <w:t>关键动作：</w:t>
      </w:r>
      <w:r>
        <w:rPr>
          <w:rFonts w:ascii="Microsoft YaHei" w:hAnsi="Microsoft YaHei" w:eastAsia="Microsoft YaHei"/>
          <w:sz w:val="21"/>
        </w:rPr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围绕 Q4 圣诞、跨年等重要营销节点，完成产品、内容、渠道、门店、社媒及会员运营的一体化策略设计。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结合各国业务阶段、门店规模、渠道能力与经营目标，制定差异化预算分配方案。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在预算投入前完成预期 ROI、关键指标和资源优先级评估，提高营销资源使用效率。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以“全球统一节奏 + 本地市场调整”为原则，搭建 2027 年 H1 全球营销日历。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提前锁定新品节奏、重点品类、核心节日、渠道活动和品牌传播 Key Point，为各市场预留准备周期。</w:t>
      </w:r>
    </w:p>
    <w:p>
      <w:pPr>
        <w:pStyle w:val="ListBullet"/>
        <w:spacing w:after="60"/>
        <w:ind w:left="312"/>
      </w:pPr>
      <w:r>
        <w:rPr>
          <w:rFonts w:ascii="Microsoft YaHei" w:hAnsi="Microsoft YaHei" w:eastAsia="Microsoft YaHei"/>
          <w:sz w:val="21"/>
        </w:rPr>
        <w:t>将 Q3 渠道试点、烘焙推广和 APP 运营结果纳入 2027 年规划，确保下一年度策略建立在已验证经验之上。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F4E79"/>
          <w:sz w:val="26"/>
        </w:rPr>
        <w:t>3.4 Q3 与 Q4 推进重点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3229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229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工作重点</w:t>
            </w:r>
          </w:p>
        </w:tc>
        <w:tc>
          <w:tcPr>
            <w:tcW w:type="dxa" w:w="3229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关键产出</w:t>
            </w:r>
          </w:p>
        </w:tc>
      </w:tr>
      <w:tr>
        <w:tc>
          <w:tcPr>
            <w:tcW w:type="dxa" w:w="3229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Q3</w:t>
            </w:r>
          </w:p>
        </w:tc>
        <w:tc>
          <w:tcPr>
            <w:tcW w:type="dxa" w:w="3229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渠道盘点、核心渠道试点、外卖增长、烘焙专项推广、APP 本地化运营方案、Q4 战役规划。</w:t>
            </w:r>
          </w:p>
        </w:tc>
        <w:tc>
          <w:tcPr>
            <w:tcW w:type="dxa" w:w="3229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渠道能力地图、试点方案、烘焙整合营销方案、美国/马来西亚 APP 运营方案、Q4 策略及预算方案。</w:t>
            </w:r>
          </w:p>
        </w:tc>
      </w:tr>
      <w:tr>
        <w:tc>
          <w:tcPr>
            <w:tcW w:type="dxa" w:w="322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sz w:val="19"/>
              </w:rPr>
              <w:t>Q4</w:t>
            </w:r>
          </w:p>
        </w:tc>
        <w:tc>
          <w:tcPr>
            <w:tcW w:type="dxa" w:w="322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放大有效试点、执行圣诞/跨年营销战役、持续推动 APP 拉新促活、完成全年复盘。</w:t>
            </w:r>
          </w:p>
        </w:tc>
        <w:tc>
          <w:tcPr>
            <w:tcW w:type="dxa" w:w="3229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渠道运营 Playbook、营销战役复盘、用户运营方法论、2027 H1 全球营销日历及 Key Point。</w:t>
            </w:r>
          </w:p>
        </w:tc>
      </w:tr>
    </w:tbl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F4E79"/>
          <w:sz w:val="26"/>
        </w:rPr>
        <w:t>3.5 组织能力沉淀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下半年不仅关注短期增长结果，也将围绕以下三类资产进行持续沉淀：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渠道增长资产：</w:t>
      </w:r>
      <w:r>
        <w:rPr>
          <w:rFonts w:ascii="Microsoft YaHei" w:hAnsi="Microsoft YaHei" w:eastAsia="Microsoft YaHei"/>
          <w:sz w:val="21"/>
        </w:rPr>
        <w:t>沉淀国家渠道地图、外卖运营方法论、重点平台活动模板、渠道复盘机制及品类推广案例。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数字化用户资产：</w:t>
      </w:r>
      <w:r>
        <w:rPr>
          <w:rFonts w:ascii="Microsoft YaHei" w:hAnsi="Microsoft YaHei" w:eastAsia="Microsoft YaHei"/>
          <w:sz w:val="21"/>
        </w:rPr>
        <w:t>沉淀 APP 本地化运营框架、注册激励策略、会员权益机制、用户分层模型及拉新促活活动模板。</w:t>
      </w:r>
    </w:p>
    <w:p>
      <w:pPr>
        <w:spacing w:after="80"/>
      </w:pPr>
      <w:r>
        <w:rPr>
          <w:rFonts w:ascii="Microsoft YaHei" w:hAnsi="Microsoft YaHei" w:eastAsia="Microsoft YaHei"/>
          <w:b/>
          <w:sz w:val="21"/>
        </w:rPr>
        <w:t>战略规划资产：</w:t>
      </w:r>
      <w:r>
        <w:rPr>
          <w:rFonts w:ascii="Microsoft YaHei" w:hAnsi="Microsoft YaHei" w:eastAsia="Microsoft YaHei"/>
          <w:sz w:val="21"/>
        </w:rPr>
        <w:t>沉淀全球营销日历、年度大节点策略模板、预算分配逻辑、ROI 预估模型及跨市场协同机制。</w:t>
      </w:r>
    </w:p>
    <w:p>
      <w:pPr>
        <w:spacing w:before="120"/>
        <w:jc w:val="center"/>
      </w:pPr>
      <w:r>
        <w:rPr>
          <w:rFonts w:ascii="Microsoft YaHei" w:hAnsi="Microsoft YaHei" w:eastAsia="Microsoft YaHei"/>
          <w:b/>
          <w:i/>
          <w:color w:val="1F4E79"/>
          <w:sz w:val="22"/>
        </w:rPr>
        <w:t>一次渠道试点，多国复制；一次用户运营验证，多市场复用；一次年度规划，提升全年资源效率。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F4E79"/>
          <w:sz w:val="26"/>
        </w:rPr>
        <w:t>3.6 主要挑战与应对方式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主要挑战</w:t>
            </w:r>
          </w:p>
        </w:tc>
        <w:tc>
          <w:tcPr>
            <w:tcW w:type="dxa" w:w="4844"/>
            <w:vAlign w:val="center"/>
            <w:shd w:fill="1F4E79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应对方式</w:t>
            </w:r>
          </w:p>
        </w:tc>
      </w:tr>
      <w:tr>
        <w:tc>
          <w:tcPr>
            <w:tcW w:type="dxa" w:w="4844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各国市场成熟度、消费者偏好及渠道结构差异较大。</w:t>
            </w:r>
          </w:p>
        </w:tc>
        <w:tc>
          <w:tcPr>
            <w:tcW w:type="dxa" w:w="4844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采用“全球统一框架 + 国家本地化策略”的方式，统一指标、流程与核心资产，同时保留本地化执行空间。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外卖、烘焙、APP 等项目需要跨团队协同。</w:t>
            </w:r>
          </w:p>
        </w:tc>
        <w:tc>
          <w:tcPr>
            <w:tcW w:type="dxa" w:w="484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建立清晰的项目目标、责任分工、关键节点与数据复盘机制，提升营销、运营、产品、技术及国家团队协同效率。</w:t>
            </w:r>
          </w:p>
        </w:tc>
      </w:tr>
      <w:tr>
        <w:tc>
          <w:tcPr>
            <w:tcW w:type="dxa" w:w="4844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资源有限，但多国营销需求同步增加。</w:t>
            </w:r>
          </w:p>
        </w:tc>
        <w:tc>
          <w:tcPr>
            <w:tcW w:type="dxa" w:w="4844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通过渠道优先级管理、核心市场试点、标准工具包复用和预算 ROI 评估，集中资源投入高潜力事项。</w:t>
            </w:r>
          </w:p>
        </w:tc>
      </w:tr>
      <w:tr>
        <w:tc>
          <w:tcPr>
            <w:tcW w:type="dxa" w:w="484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用户运营效果需要时间验证。</w:t>
            </w:r>
          </w:p>
        </w:tc>
        <w:tc>
          <w:tcPr>
            <w:tcW w:type="dxa" w:w="4844"/>
            <w:vAlign w:val="center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先在美国、马来西亚建立可衡量的运营模型，再基于结果逐步复制到其他国家。</w:t>
            </w:r>
          </w:p>
        </w:tc>
      </w:tr>
      <w:tr>
        <w:tc>
          <w:tcPr>
            <w:tcW w:type="dxa" w:w="4844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Q4 大节点执行与 2027 年规划同时推进。</w:t>
            </w:r>
          </w:p>
        </w:tc>
        <w:tc>
          <w:tcPr>
            <w:tcW w:type="dxa" w:w="4844"/>
            <w:vAlign w:val="center"/>
            <w:shd w:fill="EAF2F8"/>
          </w:tcPr>
          <w:p>
            <w:pPr>
              <w:spacing w:after="0" w:before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通过倒排营销日历、提前锁定 Key Point 和预算配置，减少临时性项目对长期规划的干扰。</w:t>
            </w:r>
          </w:p>
        </w:tc>
      </w:tr>
    </w:tbl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F4E79"/>
          <w:sz w:val="26"/>
        </w:rPr>
        <w:t>3.7 总结表述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下半年，海外整合营销工作的重点将从“完成体系建设”进一步转向“以业务结果验证体系价值”。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一方面，通过渠道运营、外卖增长和烘焙专项推广，直接推动单店及品类收入增长；另一方面，通过美国、马来西亚 APP 本地化运营，加速数字化用户资产沉淀；同时，以 Q4 大节点策略、预算规划和 2027 年 H1 营销日历为抓手，提高全球营销工作的前置性、协同性和资源效率。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/>
          <w:i/>
          <w:color w:val="1F4E79"/>
          <w:sz w:val="24"/>
        </w:rPr>
        <w:t>以渠道增长验证运营方法，以用户资产支撑长期增长，以前置规划保障规模化复制。</w:t>
      </w:r>
    </w:p>
    <w:p>
      <w:pPr>
        <w:spacing w:before="200" w:after="0"/>
      </w:pPr>
      <w:r>
        <w:rPr>
          <w:rFonts w:ascii="Microsoft YaHei" w:hAnsi="Microsoft YaHei" w:eastAsia="Microsoft YaHei"/>
          <w:b/>
          <w:color w:val="595959"/>
          <w:sz w:val="18"/>
        </w:rPr>
        <w:t>口径说明：</w:t>
      </w:r>
      <w:r>
        <w:rPr>
          <w:rFonts w:ascii="Microsoft YaHei" w:hAnsi="Microsoft YaHei" w:eastAsia="Microsoft YaHei"/>
          <w:color w:val="595959"/>
          <w:sz w:val="18"/>
        </w:rPr>
        <w:t>Q3 中“烘焙品类销量提升 20%”同时涉及渠道增长与爆品/用户沉淀，汇报时建议作为跨目标共同结果呈现，避免重复计算。</w:t>
      </w:r>
    </w:p>
    <w:sectPr w:rsidR="00FC693F" w:rsidRPr="0006063C" w:rsidSect="00034616">
      <w:pgSz w:w="12240" w:h="15840"/>
      <w:pgMar w:top="1191" w:right="1276" w:bottom="1191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