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4"/>
        </w:rPr>
        <w:t>Smart Pantry: On-Device Produce Detection and Autonomous Inventory Management Employing Edge-Optimized YOLOv8 and Eventual Consistency Sync</w:t>
      </w:r>
    </w:p>
    <w:tbl>
      <w:tblPr>
        <w:tblW w:type="auto" w:w="0"/>
        <w:jc w:val="center"/>
        <w:tblLook w:firstColumn="1" w:firstRow="1" w:lastColumn="0" w:lastRow="0" w:noHBand="0" w:noVBand="1" w:val="04A0"/>
      </w:tblPr>
      <w:tblGrid>
        <w:gridCol w:w="5040"/>
        <w:gridCol w:w="5040"/>
      </w:tblGrid>
      <w:tr>
        <w:tc>
          <w:tcPr>
            <w:tcW w:type="dxa" w:w="5040"/>
          </w:tcPr>
          <w:p>
            <w:pPr>
              <w:spacing w:after="40"/>
              <w:jc w:val="center"/>
            </w:pPr>
            <w:r>
              <w:rPr>
                <w:b/>
                <w:sz w:val="20"/>
              </w:rPr>
              <w:t>Dayal Kumar Padhy</w:t>
              <w:br/>
            </w:r>
            <w:r>
              <w:rPr>
                <w:sz w:val="18"/>
              </w:rPr>
              <w:t>Dept. of Computer Science &amp; Engineering</w:t>
              <w:br/>
              <w:t>Centurion University of Technology and Management</w:t>
              <w:br/>
              <w:t>Paralakhemundi, Odisha, India</w:t>
              <w:br/>
            </w:r>
            <w:r>
              <w:rPr>
                <w:i/>
                <w:sz w:val="18"/>
              </w:rPr>
              <w:t>dayalkumarpadhy@gmail.com</w:t>
            </w:r>
          </w:p>
        </w:tc>
        <w:tc>
          <w:tcPr>
            <w:tcW w:type="dxa" w:w="5040"/>
          </w:tcPr>
          <w:p>
            <w:pPr>
              <w:spacing w:after="40"/>
              <w:jc w:val="center"/>
            </w:pPr>
            <w:r>
              <w:rPr>
                <w:b/>
                <w:sz w:val="20"/>
              </w:rPr>
              <w:t>Research Collaborator</w:t>
              <w:br/>
            </w:r>
            <w:r>
              <w:rPr>
                <w:sz w:val="18"/>
              </w:rPr>
              <w:t>Dept. of Computer Science &amp; Engineering</w:t>
              <w:br/>
              <w:t>Centurion University of Technology and Management</w:t>
              <w:br/>
              <w:t>Paralakhemundi, Odisha, India</w:t>
              <w:br/>
            </w:r>
            <w:r>
              <w:rPr>
                <w:i/>
                <w:sz w:val="18"/>
              </w:rPr>
              <w:t>collaborator@cutm.ac.in</w:t>
            </w:r>
          </w:p>
        </w:tc>
      </w:tr>
    </w:tbl>
    <w:p>
      <w:pPr>
        <w:spacing w:before="120" w:after="120"/>
      </w:pPr>
    </w:p>
    <w:p>
      <w:pPr>
        <w:spacing w:line="252" w:lineRule="auto" w:after="80"/>
        <w:jc w:val="both"/>
      </w:pPr>
      <w:r>
        <w:rPr>
          <w:rFonts w:ascii="Times New Roman" w:hAnsi="Times New Roman"/>
          <w:b/>
          <w:sz w:val="19"/>
        </w:rPr>
        <w:t xml:space="preserve">Abstract— </w:t>
      </w:r>
      <w:r>
        <w:rPr>
          <w:rFonts w:ascii="Times New Roman" w:hAnsi="Times New Roman"/>
          <w:sz w:val="19"/>
        </w:rPr>
        <w:t>Household food wastage constitutes a pervasive global crisis, contributing to severe financial loss and heightened carbon emissions. A substantial portion of discarded domestic foodstuffs stems from perishable vegetable and fruit produce, primarily exacerbated by poor pantry inventory visibility and overlooked expiration timelines. This study presents Smart Pantry, an autonomous, edge-computing architecture capable of localized produce recognition, algorithmic shelf-life estimation, and zero-connectivity inventory tracking. The detection engine is underpinned by a custom-trained YOLOv8m convolutional neural network exported to Open Neural Network Exchange (ONNX) format and driven directly on consumer mobile processors via native ONNX Runtime bindings. To resolve subtle geometric coordinate distortions commonly induced by naive square stretching, an aspect-preserving rectangular letterbox transformation is formulated alongside a class-aware non-maximum suppression (NMS) pipeline. Inventory mutations are retained on-device using atomic local stores, interfacing with an eventual-consistency synchronization service backed by FastAPI and MongoDB once wireless communication is established. The trained 35-class detector achieved a validation mean Average Precision (mAP@50) of 91.3% and a recall of 84.8%. The proposed system eliminates cloud inference dependency, guarantees strict end-user visual privacy, and mitigates post-harvest domestic food spoilage.</w:t>
      </w:r>
    </w:p>
    <w:p>
      <w:pPr>
        <w:spacing w:after="200"/>
        <w:jc w:val="both"/>
      </w:pPr>
      <w:r>
        <w:rPr>
          <w:rFonts w:ascii="Times New Roman" w:hAnsi="Times New Roman"/>
          <w:b/>
          <w:i/>
          <w:sz w:val="19"/>
        </w:rPr>
        <w:t xml:space="preserve">Keywords— </w:t>
      </w:r>
      <w:r>
        <w:rPr>
          <w:rFonts w:ascii="Times New Roman" w:hAnsi="Times New Roman"/>
          <w:sz w:val="19"/>
        </w:rPr>
        <w:t>Produce Detection, YOLOv8, On-Device Inference, ONNX Runtime, Edge Machine Learning, Pantry Inventory Management, Rectangular Letterbox Preprocessing, Eventual Consistency, Food Spoilage Mitigation, FastAPI</w:t>
      </w:r>
    </w:p>
    <w:p>
      <w:pPr>
        <w:spacing w:before="200" w:after="80"/>
        <w:jc w:val="left"/>
      </w:pPr>
      <w:r>
        <w:rPr>
          <w:rFonts w:ascii="Times New Roman" w:hAnsi="Times New Roman"/>
          <w:b/>
          <w:sz w:val="22"/>
        </w:rPr>
        <w:t>I. INTRODUCTION</w:t>
      </w:r>
    </w:p>
    <w:p>
      <w:pPr>
        <w:spacing w:line="252" w:lineRule="auto" w:after="80"/>
        <w:jc w:val="both"/>
      </w:pPr>
      <w:r>
        <w:rPr>
          <w:rFonts w:ascii="Times New Roman" w:hAnsi="Times New Roman"/>
          <w:sz w:val="20"/>
        </w:rPr>
        <w:t>Escalating rates of domestic food wastage present severe socioeconomic, logistical, and environmental vulnerabilities worldwide. Statistical assessments disseminated by the Food and Agriculture Organization (FAO) reveal that roughly one-third of the global food volume synthesized for human nourishment—approximating 1.3 billion metric tons—is lost or discarded per annum [1]. In developed and developing urban households alike, fresh agricultural produce (fruits, cruciferous vegetables, roots, and leafy greens) exhibits the steepest rate of post-retail discard. Perishable provisions are frequently acquired, placed within refrigerated units or dark cupboards, and forgotten until microbial breakdown or enzymatic degradation renders them unpalatable [2].</w:t>
      </w:r>
    </w:p>
    <w:p>
      <w:pPr>
        <w:spacing w:line="252" w:lineRule="auto" w:after="80"/>
        <w:jc w:val="both"/>
      </w:pPr>
      <w:r>
        <w:rPr>
          <w:rFonts w:ascii="Times New Roman" w:hAnsi="Times New Roman"/>
          <w:sz w:val="20"/>
        </w:rPr>
        <w:t>Conventional solutions targeting domestic inventory coordination have predominantly relied upon laborious manual input regimes, such as physical whiteboards, digital spreadsheets, or barcode-scanning utilities. While barcode systems function reliably for commercially packaged dry goods, they utterly fail when handling unpackaged, loose fresh agricultural commodities distributed by traditional wet markets, grocers, and localized farm stands [3]. Conversely, existing computer vision approaches in literature often adopt cloud-centric client-server topologies where images captured on user handsets are uploaded to centralized server clusters for inference. This paradigm exhibits noticeable drawbacks: significant round-trip network transmission latencies, severe vulnerabilities under poor cellular bandwidth, ongoing server hosting expenditures, and deep user privacy concerns regarding the continuous streaming of private domestic scenes to third-party endpoints [4].</w:t>
      </w:r>
    </w:p>
    <w:p>
      <w:pPr>
        <w:spacing w:line="252" w:lineRule="auto" w:after="80"/>
        <w:jc w:val="both"/>
      </w:pPr>
      <w:r>
        <w:rPr>
          <w:rFonts w:ascii="Times New Roman" w:hAnsi="Times New Roman"/>
          <w:sz w:val="20"/>
        </w:rPr>
        <w:t>To surmount these impediments, this research proposes Smart Pantry, an autonomous, client-side visual recognition and inventory governance ecosystem. Operating on mobile hardware, the system executes real-time multi-target produce recognition utilizing a specialized YOLOv8m deep convolutional neural network compiled into the ONNX runtime. Rather than delegating detection workloads to cloud infrastructure, the full tensor decoding pipeline—encompassing aspect-preserving rectangular letterboxing, bilinear scaling, confidence filtering, class-aware non-maximum suppression, and un-letterboxing coordinate projections—executes natively within the handset environment.</w:t>
      </w:r>
    </w:p>
    <w:p>
      <w:pPr>
        <w:spacing w:line="252" w:lineRule="auto" w:after="80"/>
        <w:jc w:val="both"/>
      </w:pPr>
      <w:r>
        <w:rPr>
          <w:rFonts w:ascii="Times New Roman" w:hAnsi="Times New Roman"/>
          <w:sz w:val="20"/>
        </w:rPr>
        <w:t>The key empirical and architectural contributions presented in this work are outlined as follows:</w:t>
        <w:br/>
        <w:t>• Formulation of an end-to-end client-side vision pipeline utilizing an edge-tailored YOLOv8m ONNX model targeting 35 distinct produce classes, realizing 91.3% mAP@50 without server transmission.</w:t>
        <w:br/>
        <w:t>• Implementation of a mathematically rigorous rectangular letterbox preprocessing protocol that eliminates 37 grey levels of distortion caused by conventional square stretching, matching native PyTorch precision on mobile hardware.</w:t>
        <w:br/>
        <w:t>• Development of an offline-first resilient synchronization protocol that queues atomic inventory modifications locally and reconciles state with a FastAPI-MongoDB backend via idempotent last-write-wins rules upon network resumption.</w:t>
        <w:br/>
        <w:t>• Integration of a zero-latency heuristic shelf-life predictor, client-side combinatorial recipe matcher, nutritional aggregator, and dynamic review interface with correction telemetry.</w:t>
      </w:r>
    </w:p>
    <w:p>
      <w:pPr>
        <w:spacing w:before="200" w:after="80"/>
        <w:jc w:val="left"/>
      </w:pPr>
      <w:r>
        <w:rPr>
          <w:rFonts w:ascii="Times New Roman" w:hAnsi="Times New Roman"/>
          <w:b/>
          <w:sz w:val="22"/>
        </w:rPr>
        <w:t>II. LITERATURE SURVEY</w:t>
      </w:r>
    </w:p>
    <w:p>
      <w:pPr>
        <w:spacing w:line="252" w:lineRule="auto" w:after="80"/>
        <w:jc w:val="both"/>
      </w:pPr>
      <w:r>
        <w:rPr>
          <w:rFonts w:ascii="Times New Roman" w:hAnsi="Times New Roman"/>
          <w:sz w:val="20"/>
        </w:rPr>
        <w:t>Automated identification of food items has constituted a compelling sub-discipline within machine vision over the prior decade. Pioneering investigations by Bossard et al. [5] proposed the benchmark Food-101 dataset and evaluated discriminative random forest components. Their methodology relied upon hand-engineered low-level visual textures, which suffered substantial precision degradations when handling varied illumination, partial occlusions, and organic textural diversity.</w:t>
      </w:r>
    </w:p>
    <w:p>
      <w:pPr>
        <w:spacing w:line="252" w:lineRule="auto" w:after="80"/>
        <w:jc w:val="both"/>
      </w:pPr>
      <w:r>
        <w:rPr>
          <w:rFonts w:ascii="Times New Roman" w:hAnsi="Times New Roman"/>
          <w:sz w:val="20"/>
        </w:rPr>
        <w:t>The subsequent consolidation of Convolutional Neural Networks (CNNs) profoundly elevated food classification benchmarks. Yanai and Kawano [6] leveraged deep transfer learning techniques to classify culinary dishes across complex multi-dish table settings. Hassannejad et al. [7] developed fine-grained classification models using customized GoogLeNet and ResNet topologies, attaining elevated categorical recognition across extensive culinary catalogs. Nevertheless, pure classification networks evaluate visual inputs globally, yielding solitary categorical predictions per image frame, thereby failing to localize multiple discrete agricultural objects situated concurrently within realistic domestic pantry bins or refrigerator drawers.</w:t>
      </w:r>
    </w:p>
    <w:p>
      <w:pPr>
        <w:spacing w:line="252" w:lineRule="auto" w:after="80"/>
        <w:jc w:val="both"/>
      </w:pPr>
      <w:r>
        <w:rPr>
          <w:rFonts w:ascii="Times New Roman" w:hAnsi="Times New Roman"/>
          <w:sz w:val="20"/>
        </w:rPr>
        <w:t>The introduction of single-stage object detection architectures, most prominently the You Only Look Once (YOLO) framework formulated by Redmon et al. [8], reformulated object detection as a unified spatial regression problem. Successive architectural iterations—spanning YOLOv4, YOLOv5, and Ultralytics YOLOv8 [9]—progressively integrated Path Aggregation Networks (PANet), anchor-free decoupled detection heads, and mosaic augmentations. In agricultural domains, researchers have applied YOLO variants to fruit harvesting robotics and orchard yield estimations [10]. However, prior studies seldom transition these heavy models onto standard consumer handsets, typically relying on desktop workstations with dedicated GPU accelerators.</w:t>
      </w:r>
    </w:p>
    <w:p>
      <w:pPr>
        <w:spacing w:line="252" w:lineRule="auto" w:after="80"/>
        <w:jc w:val="both"/>
      </w:pPr>
      <w:r>
        <w:rPr>
          <w:rFonts w:ascii="Times New Roman" w:hAnsi="Times New Roman"/>
          <w:sz w:val="20"/>
        </w:rPr>
        <w:t>To facilitate edge deployment, model compilation frameworks such as ONNX Runtime and TensorFlow Lite have emerged [11]. MobileNets, popularized by Howard et al. [12], championed depthwise separable convolutions to constrain floating-point operations. Nonetheless, running complete multi-anchor vision detectors on mobile engines frequently encounters numerical drift caused by platform-dependent interpolation differences and unaligned tensor aspect ratio padding. Recent investigations into collaborative mobile-cloud topologies by Kang et al. [13] emphasized that local inference eliminates bandwidth choke points, provided on-device memory access is optimized.</w:t>
      </w:r>
    </w:p>
    <w:p>
      <w:pPr>
        <w:spacing w:line="252" w:lineRule="auto" w:after="80"/>
        <w:jc w:val="both"/>
      </w:pPr>
      <w:r>
        <w:rPr>
          <w:rFonts w:ascii="Times New Roman" w:hAnsi="Times New Roman"/>
          <w:sz w:val="20"/>
        </w:rPr>
        <w:t>Parallel technological explorations in domestic food preservation have investigated embedded RFID sensor arrays and instrumented intelligent refrigerator bins [14]. While technically viable, physical retrofitting imposes exorbitant financial and hardware barriers for standard consumers. Barcode scanning utilities [15] similarly remain ineffective for loose agrarian harvests. Consequently, deploying an edge-based, camera-driven, multi-class object detection system coupled with local state persistence represents a highly pragmatic, democratized solution to domestic perishable resource preservation.</w:t>
      </w:r>
    </w:p>
    <w:p>
      <w:pPr>
        <w:spacing w:before="200" w:after="80"/>
        <w:jc w:val="left"/>
      </w:pPr>
      <w:r>
        <w:rPr>
          <w:rFonts w:ascii="Times New Roman" w:hAnsi="Times New Roman"/>
          <w:b/>
          <w:sz w:val="22"/>
        </w:rPr>
        <w:t>III. PROPOSED METHODOLOGY</w:t>
      </w:r>
    </w:p>
    <w:p>
      <w:pPr>
        <w:spacing w:line="252" w:lineRule="auto" w:after="80"/>
        <w:jc w:val="both"/>
      </w:pPr>
      <w:r>
        <w:rPr>
          <w:rFonts w:ascii="Times New Roman" w:hAnsi="Times New Roman"/>
          <w:sz w:val="20"/>
        </w:rPr>
        <w:t>The Smart Pantry architecture is structured around four interconnected subsystems: (A) Dataset curation and convolutional neural network training, (B) On-device mathematical preprocessing and tensor inference execution, (C) Client-side application domain state management, and (D) Resilient cloud synchronization services with assistive conversational endpoints.</w:t>
      </w:r>
    </w:p>
    <w:p>
      <w:pPr>
        <w:spacing w:before="160" w:after="40"/>
        <w:jc w:val="left"/>
      </w:pPr>
      <w:r>
        <w:rPr>
          <w:rFonts w:ascii="Times New Roman" w:hAnsi="Times New Roman"/>
          <w:b/>
          <w:i/>
          <w:sz w:val="20"/>
        </w:rPr>
        <w:t>A. Dataset Formulation and Model Training</w:t>
      </w:r>
    </w:p>
    <w:p>
      <w:pPr>
        <w:spacing w:line="252" w:lineRule="auto" w:after="80"/>
        <w:jc w:val="both"/>
      </w:pPr>
      <w:r>
        <w:rPr>
          <w:rFonts w:ascii="Times New Roman" w:hAnsi="Times New Roman"/>
          <w:sz w:val="20"/>
        </w:rPr>
        <w:t>Training was conducted on an expanded, multi-class agricultural produce dataset encompassing 35 discrete classes of fresh culinary produce: Apple, Banana, Bean, Bitter Gourd, Bottle Gourd, Brinjal, Broccoli, Cabbage, Capsicum, Carrot, Cauliflower, Coconut, Corn, Cucumber, Dragonfruit, Garlic, Ginger, Grapes, Kiwi, Lemon, Lettuce, Mango, Melon, Onion, Orange, Papaya, Pear, Peas, Pineapple, Potato, Radish, Soybean, Spinach, Tomato, and Turnip. Annotations were formatted according to bounding box normalized coordinate standards.</w:t>
      </w:r>
    </w:p>
    <w:p>
      <w:pPr>
        <w:spacing w:line="252" w:lineRule="auto" w:after="80"/>
        <w:jc w:val="both"/>
      </w:pPr>
      <w:r>
        <w:rPr>
          <w:rFonts w:ascii="Times New Roman" w:hAnsi="Times New Roman"/>
          <w:sz w:val="20"/>
        </w:rPr>
        <w:t>The YOLOv8m (medium) neural backbone was chosen to balance discriminative feature extraction capacity against mobile execution constraints. The architecture encompasses roughly 25.9 million learnable weights, parameterized across an anchor-free decoupled prediction head with separate strides for classification and bounding box coordinates. Training proceeded across 50 epochs utilizing Stochastic Gradient Descent (SGD) with momentum 0.937, weight decay 0.0005, initial learning rate 0.01, and input resolution 640. Robustness against variable kitchen ambient lighting was achieved by injecting extensive HSV photometric augmentations (H: ±0.015, S: ±0.70, V: ±0.40), spatial translations, horizontal flips, and mosaic stitching. Following convergence, the PyTorch checkpoint was exported into ONNX format under opset specification 14, yielding an output tensor format of shape [1, 39, Anchors].</w:t>
      </w:r>
    </w:p>
    <w:p>
      <w:pPr>
        <w:spacing w:before="160" w:after="40"/>
        <w:jc w:val="left"/>
      </w:pPr>
      <w:r>
        <w:rPr>
          <w:rFonts w:ascii="Times New Roman" w:hAnsi="Times New Roman"/>
          <w:b/>
          <w:i/>
          <w:sz w:val="20"/>
        </w:rPr>
        <w:t>B. On-Device Mathematical Inference Pipeline</w:t>
      </w:r>
    </w:p>
    <w:p>
      <w:pPr>
        <w:spacing w:line="252" w:lineRule="auto" w:after="80"/>
        <w:jc w:val="both"/>
      </w:pPr>
      <w:r>
        <w:rPr>
          <w:rFonts w:ascii="Times New Roman" w:hAnsi="Times New Roman"/>
          <w:sz w:val="20"/>
        </w:rPr>
        <w:t>Direct model execution on mobile platforms requires stringent mathematical consistency. Standard naive resizing stretches arbitrary camera aspect ratios into uniform 640×640 matrices, severely distorting spatial eccentricity and degrading detection accuracy. Smart Pantry enforces an aspect-preserving rectangular letterbox algorithm with 32-pixel stride alignment.</w:t>
      </w:r>
    </w:p>
    <w:p>
      <w:pPr>
        <w:spacing w:line="252" w:lineRule="auto" w:after="80"/>
        <w:jc w:val="both"/>
      </w:pPr>
      <w:r>
        <w:rPr>
          <w:rFonts w:ascii="Times New Roman" w:hAnsi="Times New Roman"/>
          <w:sz w:val="20"/>
        </w:rPr>
        <w:t>Given raw image dimensions (W_orig, H_orig) and target dimension T = 640 with stride constraint S = 32, the transformation parameters are computed as:</w:t>
        <w:br/>
        <w:t xml:space="preserve">    scale = min(T / W_orig, T / H_orig)</w:t>
        <w:br/>
        <w:t xml:space="preserve">    W_scaled = round(W_orig · scale),  H_scaled = round(H_orig · scale)</w:t>
        <w:br/>
        <w:t xml:space="preserve">    W_padded = ceil(W_scaled / S) · S,  H_padded = ceil(H_scaled / S) · S</w:t>
        <w:br/>
        <w:t xml:space="preserve">    dx = (W_padded − W_scaled) / 2,     dy = (H_padded − H_scaled) / 2</w:t>
        <w:br/>
        <w:t>The image is bilinearly scaled into (W_scaled, H_scaled) and embedded upon a neutral canvas centered with grey value 114. Pixel values are normalized via division by 255.0, transposed to channel-first (1, 3, H_padded, W_padded) floating-point matrices, and dispatched directly into the local ONNX Runtime inference session.</w:t>
      </w:r>
    </w:p>
    <w:p>
      <w:pPr>
        <w:spacing w:line="252" w:lineRule="auto" w:after="80"/>
        <w:jc w:val="both"/>
      </w:pPr>
      <w:r>
        <w:rPr>
          <w:rFonts w:ascii="Times New Roman" w:hAnsi="Times New Roman"/>
          <w:sz w:val="20"/>
        </w:rPr>
        <w:t>The raw output matrix of shape [1, 39, N] is subsequently decoded using on-device TypeScript routines. Each candidate column comprises 4 bounding coordinate descriptors followed by 35 class probability logits. Candidate anchors whose peak class score falls below confidence threshold τ_conf (configurable, default 0.25) are immediately eliminated. Remaining coordinates (cx, cy, w, h) are converted to Cartesian corners (x1, y1, x2, y2), relieved of letterbox padding offsets (dx, dy), scaled reciprocally by (1 / scale), and clipped to original image extents.</w:t>
      </w:r>
    </w:p>
    <w:p>
      <w:pPr>
        <w:spacing w:line="252" w:lineRule="auto" w:after="80"/>
        <w:jc w:val="both"/>
      </w:pPr>
      <w:r>
        <w:rPr>
          <w:rFonts w:ascii="Times New Roman" w:hAnsi="Times New Roman"/>
          <w:sz w:val="20"/>
        </w:rPr>
        <w:t>To suppress redundant candidate overlaps, a class-aware greedy Non-Maximum Suppression (NMS) routine is executed. Detections are partitioned by categorical identifier and sorted in descending confidence sequence. Detections exhibiting an Intersection over Union (IoU) surpassing threshold τ_iou = 0.45 relative to higher-ranked candidates of identical classification are eliminated. The IoU between boxes A and B is evaluated via:</w:t>
      </w:r>
    </w:p>
    <w:p>
      <w:pPr>
        <w:spacing w:line="252" w:lineRule="auto" w:after="80"/>
        <w:jc w:val="both"/>
      </w:pPr>
      <w:r>
        <w:rPr>
          <w:rFonts w:ascii="Times New Roman" w:hAnsi="Times New Roman"/>
          <w:sz w:val="20"/>
        </w:rPr>
        <w:t xml:space="preserve">    IoU(A, B) = Area(A ∩ B) / Area(A ∪ B)               (1)</w:t>
      </w:r>
    </w:p>
    <w:p>
      <w:pPr>
        <w:spacing w:before="160" w:after="40"/>
        <w:jc w:val="left"/>
      </w:pPr>
      <w:r>
        <w:rPr>
          <w:rFonts w:ascii="Times New Roman" w:hAnsi="Times New Roman"/>
          <w:b/>
          <w:i/>
          <w:sz w:val="20"/>
        </w:rPr>
        <w:t>C. Client-Side Domain Logic and State Architecture</w:t>
      </w:r>
    </w:p>
    <w:p>
      <w:pPr>
        <w:spacing w:line="252" w:lineRule="auto" w:after="80"/>
        <w:jc w:val="both"/>
      </w:pPr>
      <w:r>
        <w:rPr>
          <w:rFonts w:ascii="Times New Roman" w:hAnsi="Times New Roman"/>
          <w:sz w:val="20"/>
        </w:rPr>
        <w:t>The mobile software layer is structured utilizing React Native with TypeScript and Zustand atomic state stores. Upon scan completion, users interact with a visual Review Heads-Up Display (HUD) displaying detections overlaid atop the photograph. An interactive class-override picker empowers users to manually rectify any misidentifications or append undetected produce items, ensuring data veracity before insertion into local pantry storage.</w:t>
      </w:r>
    </w:p>
    <w:p>
      <w:pPr>
        <w:spacing w:line="252" w:lineRule="auto" w:after="80"/>
        <w:jc w:val="both"/>
      </w:pPr>
      <w:r>
        <w:rPr>
          <w:rFonts w:ascii="Times New Roman" w:hAnsi="Times New Roman"/>
          <w:sz w:val="20"/>
        </w:rPr>
        <w:t>Each confirmed produce item is bound to a deterministic shelf-life calculation model. Storage durations (in days) are referenced against a curated agricultural shelf-life catalog. The system evaluates elapsed time relative to shelf-life expectancy and categorizes items across four operational urgency bands: Fresh, Warning (≤3 days remaining), Critical (≤1 day remaining), and Expired. System alerts are scheduled through local notification daemons without requiring network connectivity.</w:t>
      </w:r>
    </w:p>
    <w:p>
      <w:pPr>
        <w:spacing w:line="252" w:lineRule="auto" w:after="80"/>
        <w:jc w:val="both"/>
      </w:pPr>
      <w:r>
        <w:rPr>
          <w:rFonts w:ascii="Times New Roman" w:hAnsi="Times New Roman"/>
          <w:sz w:val="20"/>
        </w:rPr>
        <w:t>To expedite produce consumption prior to spoilage, an on-device combinatorial recipe matching algorithm evaluates available pantry items against a local relational culinary database. Match percentages are dynamically derived by computing the intersection ratio of required recipe ingredients satisfied by active inventory, prioritizing items classified under Critical and Warning urgency tiers.</w:t>
      </w:r>
    </w:p>
    <w:p>
      <w:pPr>
        <w:spacing w:before="160" w:after="40"/>
        <w:jc w:val="left"/>
      </w:pPr>
      <w:r>
        <w:rPr>
          <w:rFonts w:ascii="Times New Roman" w:hAnsi="Times New Roman"/>
          <w:b/>
          <w:i/>
          <w:sz w:val="20"/>
        </w:rPr>
        <w:t>D. Resilient Cloud Synchronization and Backend Services</w:t>
      </w:r>
    </w:p>
    <w:p>
      <w:pPr>
        <w:spacing w:line="252" w:lineRule="auto" w:after="80"/>
        <w:jc w:val="both"/>
      </w:pPr>
      <w:r>
        <w:rPr>
          <w:rFonts w:ascii="Times New Roman" w:hAnsi="Times New Roman"/>
          <w:sz w:val="20"/>
        </w:rPr>
        <w:t>When connectivity is detected, an offline-first synchronization manager transmits batched, queued mutations to a FastAPI cloud service backed by MongoDB. The protocol enforces idempotency through globally unique operation identifiers combined with last-write-wins timestamp validation, preventing record duplication during intermittent wireless handshakes. The backend furnishes administrative telemetry analytics, JWT-secured authentication (utilizing bcrypt hashing), and an intelligent Copilot service powered by Large Language Models (with automated fallback to heuristic rule chains during external provider outages).</w:t>
      </w:r>
    </w:p>
    <w:p>
      <w:pPr>
        <w:spacing w:before="200" w:after="80"/>
        <w:jc w:val="left"/>
      </w:pPr>
      <w:r>
        <w:rPr>
          <w:rFonts w:ascii="Times New Roman" w:hAnsi="Times New Roman"/>
          <w:b/>
          <w:sz w:val="22"/>
        </w:rPr>
        <w:t>IV. EXPERIMENTAL RESULTS AND PERFORMANCE ANALYSIS</w:t>
      </w:r>
    </w:p>
    <w:p>
      <w:pPr>
        <w:spacing w:line="252" w:lineRule="auto" w:after="80"/>
        <w:jc w:val="both"/>
      </w:pPr>
      <w:r>
        <w:rPr>
          <w:rFonts w:ascii="Times New Roman" w:hAnsi="Times New Roman"/>
          <w:sz w:val="20"/>
        </w:rPr>
        <w:t>Evaluation was performed across both model detection accuracy and mobile execution fidelity to thoroughly validate real-world operational feasibility.</w:t>
      </w:r>
    </w:p>
    <w:p>
      <w:pPr>
        <w:spacing w:before="160" w:after="40"/>
        <w:jc w:val="left"/>
      </w:pPr>
      <w:r>
        <w:rPr>
          <w:rFonts w:ascii="Times New Roman" w:hAnsi="Times New Roman"/>
          <w:b/>
          <w:i/>
          <w:sz w:val="20"/>
        </w:rPr>
        <w:t>A. Model Detection Performance</w:t>
      </w:r>
    </w:p>
    <w:p>
      <w:pPr>
        <w:spacing w:line="252" w:lineRule="auto" w:after="80"/>
        <w:jc w:val="both"/>
      </w:pPr>
      <w:r>
        <w:rPr>
          <w:rFonts w:ascii="Times New Roman" w:hAnsi="Times New Roman"/>
          <w:sz w:val="20"/>
        </w:rPr>
        <w:t>The mathematical performance metrics—Precision (P), Recall (R), F1-Score, and mean Average Precision (mAP)—are computed under standard formulations:</w:t>
        <w:br/>
        <w:t xml:space="preserve">    Precision = TP / (TP + FP) · 100                    (2)</w:t>
        <w:br/>
        <w:t xml:space="preserve">    Recall = TP / (TP + FN) · 100                       (3)</w:t>
        <w:br/>
        <w:t xml:space="preserve">    F1-Score = 2 · (P · R) / (P + R)                    (4)</w:t>
        <w:br/>
        <w:t xml:space="preserve">    mAP@50 = (1 / C) · ∑ AP_c                           (5)</w:t>
        <w:br/>
        <w:t>where C represents the 35 categorical produce classes.</w:t>
      </w:r>
    </w:p>
    <w:p>
      <w:pPr>
        <w:jc w:val="center"/>
      </w:pPr>
      <w:r>
        <w:rPr>
          <w:b/>
          <w:sz w:val="19"/>
        </w:rPr>
        <w:t>TABLE I. GLOBAL VALIDATION PERFORMANCE METRICS OF THE YOLOv8m PRODUCE DETECTOR</w:t>
      </w:r>
    </w:p>
    <w:tbl>
      <w:tblPr>
        <w:tblW w:type="auto" w:w="0"/>
        <w:jc w:val="center"/>
        <w:tblLook w:firstColumn="1" w:firstRow="1" w:lastColumn="0" w:lastRow="0" w:noHBand="0" w:noVBand="1" w:val="04A0"/>
      </w:tblPr>
      <w:tblGrid>
        <w:gridCol w:w="5040"/>
        <w:gridCol w:w="5040"/>
      </w:tblGrid>
      <w:tr>
        <w:tc>
          <w:tcPr>
            <w:tcW w:type="dxa" w:w="5040"/>
          </w:tcPr>
          <w:p>
            <w:pPr>
              <w:spacing w:after="40" w:before="40"/>
              <w:jc w:val="center"/>
            </w:pPr>
            <w:r>
              <w:rPr>
                <w:b/>
              </w:rPr>
              <w:t>Metric Parameter</w:t>
            </w:r>
          </w:p>
        </w:tc>
        <w:tc>
          <w:tcPr>
            <w:tcW w:type="dxa" w:w="5040"/>
          </w:tcPr>
          <w:p>
            <w:pPr>
              <w:spacing w:after="40" w:before="40"/>
              <w:jc w:val="center"/>
            </w:pPr>
            <w:r>
              <w:rPr>
                <w:b/>
              </w:rPr>
              <w:t>Quantitative Value</w:t>
            </w:r>
          </w:p>
        </w:tc>
      </w:tr>
      <w:tr>
        <w:tc>
          <w:tcPr>
            <w:tcW w:type="dxa" w:w="5040"/>
          </w:tcPr>
          <w:p>
            <w:pPr>
              <w:spacing w:after="40" w:before="40"/>
            </w:pPr>
            <w:r>
              <w:t>Validation mAP@50</w:t>
            </w:r>
          </w:p>
        </w:tc>
        <w:tc>
          <w:tcPr>
            <w:tcW w:type="dxa" w:w="5040"/>
          </w:tcPr>
          <w:p>
            <w:pPr>
              <w:spacing w:after="40" w:before="40"/>
              <w:jc w:val="center"/>
            </w:pPr>
            <w:r>
              <w:t>91.3%</w:t>
            </w:r>
          </w:p>
        </w:tc>
      </w:tr>
      <w:tr>
        <w:tc>
          <w:tcPr>
            <w:tcW w:type="dxa" w:w="5040"/>
          </w:tcPr>
          <w:p>
            <w:pPr>
              <w:spacing w:after="40" w:before="40"/>
            </w:pPr>
            <w:r>
              <w:t>Global Recall (R)</w:t>
            </w:r>
          </w:p>
        </w:tc>
        <w:tc>
          <w:tcPr>
            <w:tcW w:type="dxa" w:w="5040"/>
          </w:tcPr>
          <w:p>
            <w:pPr>
              <w:spacing w:after="40" w:before="40"/>
              <w:jc w:val="center"/>
            </w:pPr>
            <w:r>
              <w:t>84.8%</w:t>
            </w:r>
          </w:p>
        </w:tc>
      </w:tr>
      <w:tr>
        <w:tc>
          <w:tcPr>
            <w:tcW w:type="dxa" w:w="5040"/>
          </w:tcPr>
          <w:p>
            <w:pPr>
              <w:spacing w:after="40" w:before="40"/>
            </w:pPr>
            <w:r>
              <w:t>Backbone Parameters</w:t>
            </w:r>
          </w:p>
        </w:tc>
        <w:tc>
          <w:tcPr>
            <w:tcW w:type="dxa" w:w="5040"/>
          </w:tcPr>
          <w:p>
            <w:pPr>
              <w:spacing w:after="40" w:before="40"/>
              <w:jc w:val="center"/>
            </w:pPr>
            <w:r>
              <w:t>25.9 Million</w:t>
            </w:r>
          </w:p>
        </w:tc>
      </w:tr>
      <w:tr>
        <w:tc>
          <w:tcPr>
            <w:tcW w:type="dxa" w:w="5040"/>
          </w:tcPr>
          <w:p>
            <w:pPr>
              <w:spacing w:after="40" w:before="40"/>
            </w:pPr>
            <w:r>
              <w:t>Computational Complexity</w:t>
            </w:r>
          </w:p>
        </w:tc>
        <w:tc>
          <w:tcPr>
            <w:tcW w:type="dxa" w:w="5040"/>
          </w:tcPr>
          <w:p>
            <w:pPr>
              <w:spacing w:after="40" w:before="40"/>
              <w:jc w:val="center"/>
            </w:pPr>
            <w:r>
              <w:t>79.0 GFLOPs</w:t>
            </w:r>
          </w:p>
        </w:tc>
      </w:tr>
      <w:tr>
        <w:tc>
          <w:tcPr>
            <w:tcW w:type="dxa" w:w="5040"/>
          </w:tcPr>
          <w:p>
            <w:pPr>
              <w:spacing w:after="40" w:before="40"/>
            </w:pPr>
            <w:r>
              <w:t>Compiled ONNX Model Size</w:t>
            </w:r>
          </w:p>
        </w:tc>
        <w:tc>
          <w:tcPr>
            <w:tcW w:type="dxa" w:w="5040"/>
          </w:tcPr>
          <w:p>
            <w:pPr>
              <w:spacing w:after="40" w:before="40"/>
              <w:jc w:val="center"/>
            </w:pPr>
            <w:r>
              <w:t>104.0 MB</w:t>
            </w:r>
          </w:p>
        </w:tc>
      </w:tr>
      <w:tr>
        <w:tc>
          <w:tcPr>
            <w:tcW w:type="dxa" w:w="5040"/>
          </w:tcPr>
          <w:p>
            <w:pPr>
              <w:spacing w:after="40" w:before="40"/>
            </w:pPr>
            <w:r>
              <w:t>Inference Resolution (Max Dimension)</w:t>
            </w:r>
          </w:p>
        </w:tc>
        <w:tc>
          <w:tcPr>
            <w:tcW w:type="dxa" w:w="5040"/>
          </w:tcPr>
          <w:p>
            <w:pPr>
              <w:spacing w:after="40" w:before="40"/>
              <w:jc w:val="center"/>
            </w:pPr>
            <w:r>
              <w:t>640 pixels</w:t>
            </w:r>
          </w:p>
        </w:tc>
      </w:tr>
      <w:tr>
        <w:tc>
          <w:tcPr>
            <w:tcW w:type="dxa" w:w="5040"/>
          </w:tcPr>
          <w:p>
            <w:pPr>
              <w:spacing w:after="40" w:before="40"/>
            </w:pPr>
            <w:r>
              <w:t>Optimization Training Duration</w:t>
            </w:r>
          </w:p>
        </w:tc>
        <w:tc>
          <w:tcPr>
            <w:tcW w:type="dxa" w:w="5040"/>
          </w:tcPr>
          <w:p>
            <w:pPr>
              <w:spacing w:after="40" w:before="40"/>
              <w:jc w:val="center"/>
            </w:pPr>
            <w:r>
              <w:t>50 Epochs</w:t>
            </w:r>
          </w:p>
        </w:tc>
      </w:tr>
    </w:tbl>
    <w:p>
      <w:pPr>
        <w:spacing w:after="80"/>
      </w:pPr>
    </w:p>
    <w:p>
      <w:pPr>
        <w:spacing w:line="252" w:lineRule="auto" w:after="80"/>
        <w:jc w:val="both"/>
      </w:pPr>
      <w:r>
        <w:rPr>
          <w:rFonts w:ascii="Times New Roman" w:hAnsi="Times New Roman"/>
          <w:sz w:val="20"/>
        </w:rPr>
        <w:t>As tabulated in Table I, the fine-tuned YOLOv8m network achieved an overall validation mAP@50 of 91.3% across the comprehensive 35-class produce catalog. Table II details specific per-class performance tiers, revealing distinctive visual discriminative characteristics across agricultural categories.</w:t>
      </w:r>
    </w:p>
    <w:p>
      <w:pPr>
        <w:jc w:val="center"/>
      </w:pPr>
      <w:r>
        <w:rPr>
          <w:b/>
          <w:sz w:val="19"/>
        </w:rPr>
        <w:t>TABLE II. REPRESENTATIVE PER-CLASS PERFORMANCE PROFILES ACROSS PRODUCE CATEGORIES</w:t>
      </w:r>
    </w:p>
    <w:tbl>
      <w:tblPr>
        <w:tblW w:type="auto" w:w="0"/>
        <w:jc w:val="center"/>
        <w:tblLook w:firstColumn="1" w:firstRow="1" w:lastColumn="0" w:lastRow="0" w:noHBand="0" w:noVBand="1" w:val="04A0"/>
      </w:tblPr>
      <w:tblGrid>
        <w:gridCol w:w="2520"/>
        <w:gridCol w:w="2520"/>
        <w:gridCol w:w="2520"/>
        <w:gridCol w:w="2520"/>
      </w:tblGrid>
      <w:tr>
        <w:tc>
          <w:tcPr>
            <w:tcW w:type="dxa" w:w="2520"/>
          </w:tcPr>
          <w:p>
            <w:pPr>
              <w:spacing w:after="40" w:before="40"/>
              <w:jc w:val="center"/>
            </w:pPr>
            <w:r>
              <w:rPr>
                <w:b/>
              </w:rPr>
              <w:t>Produce Class</w:t>
            </w:r>
          </w:p>
        </w:tc>
        <w:tc>
          <w:tcPr>
            <w:tcW w:type="dxa" w:w="2520"/>
          </w:tcPr>
          <w:p>
            <w:pPr>
              <w:spacing w:after="40" w:before="40"/>
              <w:jc w:val="center"/>
            </w:pPr>
            <w:r>
              <w:rPr>
                <w:b/>
              </w:rPr>
              <w:t>AP@50 (%)</w:t>
            </w:r>
          </w:p>
        </w:tc>
        <w:tc>
          <w:tcPr>
            <w:tcW w:type="dxa" w:w="2520"/>
          </w:tcPr>
          <w:p>
            <w:pPr>
              <w:spacing w:after="40" w:before="40"/>
              <w:jc w:val="center"/>
            </w:pPr>
            <w:r>
              <w:rPr>
                <w:b/>
              </w:rPr>
              <w:t>Recall (%)</w:t>
            </w:r>
          </w:p>
        </w:tc>
        <w:tc>
          <w:tcPr>
            <w:tcW w:type="dxa" w:w="2520"/>
          </w:tcPr>
          <w:p>
            <w:pPr>
              <w:spacing w:after="40" w:before="40"/>
              <w:jc w:val="center"/>
            </w:pPr>
            <w:r>
              <w:rPr>
                <w:b/>
              </w:rPr>
              <w:t>Performance Tier</w:t>
            </w:r>
          </w:p>
        </w:tc>
      </w:tr>
      <w:tr>
        <w:tc>
          <w:tcPr>
            <w:tcW w:type="dxa" w:w="2520"/>
          </w:tcPr>
          <w:p>
            <w:pPr>
              <w:spacing w:after="40" w:before="40"/>
            </w:pPr>
            <w:r>
              <w:t>Apple</w:t>
            </w:r>
          </w:p>
        </w:tc>
        <w:tc>
          <w:tcPr>
            <w:tcW w:type="dxa" w:w="2520"/>
          </w:tcPr>
          <w:p>
            <w:pPr>
              <w:spacing w:after="40" w:before="40"/>
              <w:jc w:val="center"/>
            </w:pPr>
            <w:r>
              <w:t>&gt; 95.0</w:t>
            </w:r>
          </w:p>
        </w:tc>
        <w:tc>
          <w:tcPr>
            <w:tcW w:type="dxa" w:w="2520"/>
          </w:tcPr>
          <w:p>
            <w:pPr>
              <w:spacing w:after="40" w:before="40"/>
              <w:jc w:val="center"/>
            </w:pPr>
            <w:r>
              <w:t>&gt; 95.0</w:t>
            </w:r>
          </w:p>
        </w:tc>
        <w:tc>
          <w:tcPr>
            <w:tcW w:type="dxa" w:w="2520"/>
          </w:tcPr>
          <w:p>
            <w:pPr>
              <w:spacing w:after="40" w:before="40"/>
              <w:jc w:val="center"/>
            </w:pPr>
            <w:r>
              <w:t>Optimal</w:t>
            </w:r>
          </w:p>
        </w:tc>
      </w:tr>
      <w:tr>
        <w:tc>
          <w:tcPr>
            <w:tcW w:type="dxa" w:w="2520"/>
          </w:tcPr>
          <w:p>
            <w:pPr>
              <w:spacing w:after="40" w:before="40"/>
            </w:pPr>
            <w:r>
              <w:t>Banana</w:t>
            </w:r>
          </w:p>
        </w:tc>
        <w:tc>
          <w:tcPr>
            <w:tcW w:type="dxa" w:w="2520"/>
          </w:tcPr>
          <w:p>
            <w:pPr>
              <w:spacing w:after="40" w:before="40"/>
              <w:jc w:val="center"/>
            </w:pPr>
            <w:r>
              <w:t>&gt; 95.0</w:t>
            </w:r>
          </w:p>
        </w:tc>
        <w:tc>
          <w:tcPr>
            <w:tcW w:type="dxa" w:w="2520"/>
          </w:tcPr>
          <w:p>
            <w:pPr>
              <w:spacing w:after="40" w:before="40"/>
              <w:jc w:val="center"/>
            </w:pPr>
            <w:r>
              <w:t>&gt; 95.0</w:t>
            </w:r>
          </w:p>
        </w:tc>
        <w:tc>
          <w:tcPr>
            <w:tcW w:type="dxa" w:w="2520"/>
          </w:tcPr>
          <w:p>
            <w:pPr>
              <w:spacing w:after="40" w:before="40"/>
              <w:jc w:val="center"/>
            </w:pPr>
            <w:r>
              <w:t>Optimal</w:t>
            </w:r>
          </w:p>
        </w:tc>
      </w:tr>
      <w:tr>
        <w:tc>
          <w:tcPr>
            <w:tcW w:type="dxa" w:w="2520"/>
          </w:tcPr>
          <w:p>
            <w:pPr>
              <w:spacing w:after="40" w:before="40"/>
            </w:pPr>
            <w:r>
              <w:t>Cabbage</w:t>
            </w:r>
          </w:p>
        </w:tc>
        <w:tc>
          <w:tcPr>
            <w:tcW w:type="dxa" w:w="2520"/>
          </w:tcPr>
          <w:p>
            <w:pPr>
              <w:spacing w:after="40" w:before="40"/>
              <w:jc w:val="center"/>
            </w:pPr>
            <w:r>
              <w:t>&gt; 95.0</w:t>
            </w:r>
          </w:p>
        </w:tc>
        <w:tc>
          <w:tcPr>
            <w:tcW w:type="dxa" w:w="2520"/>
          </w:tcPr>
          <w:p>
            <w:pPr>
              <w:spacing w:after="40" w:before="40"/>
              <w:jc w:val="center"/>
            </w:pPr>
            <w:r>
              <w:t>&gt; 95.0</w:t>
            </w:r>
          </w:p>
        </w:tc>
        <w:tc>
          <w:tcPr>
            <w:tcW w:type="dxa" w:w="2520"/>
          </w:tcPr>
          <w:p>
            <w:pPr>
              <w:spacing w:after="40" w:before="40"/>
              <w:jc w:val="center"/>
            </w:pPr>
            <w:r>
              <w:t>Optimal</w:t>
            </w:r>
          </w:p>
        </w:tc>
      </w:tr>
      <w:tr>
        <w:tc>
          <w:tcPr>
            <w:tcW w:type="dxa" w:w="2520"/>
          </w:tcPr>
          <w:p>
            <w:pPr>
              <w:spacing w:after="40" w:before="40"/>
            </w:pPr>
            <w:r>
              <w:t>Capsicum</w:t>
            </w:r>
          </w:p>
        </w:tc>
        <w:tc>
          <w:tcPr>
            <w:tcW w:type="dxa" w:w="2520"/>
          </w:tcPr>
          <w:p>
            <w:pPr>
              <w:spacing w:after="40" w:before="40"/>
              <w:jc w:val="center"/>
            </w:pPr>
            <w:r>
              <w:t>&gt; 90.0</w:t>
            </w:r>
          </w:p>
        </w:tc>
        <w:tc>
          <w:tcPr>
            <w:tcW w:type="dxa" w:w="2520"/>
          </w:tcPr>
          <w:p>
            <w:pPr>
              <w:spacing w:after="40" w:before="40"/>
              <w:jc w:val="center"/>
            </w:pPr>
            <w:r>
              <w:t>&gt; 90.0</w:t>
            </w:r>
          </w:p>
        </w:tc>
        <w:tc>
          <w:tcPr>
            <w:tcW w:type="dxa" w:w="2520"/>
          </w:tcPr>
          <w:p>
            <w:pPr>
              <w:spacing w:after="40" w:before="40"/>
              <w:jc w:val="center"/>
            </w:pPr>
            <w:r>
              <w:t>Optimal</w:t>
            </w:r>
          </w:p>
        </w:tc>
      </w:tr>
      <w:tr>
        <w:tc>
          <w:tcPr>
            <w:tcW w:type="dxa" w:w="2520"/>
          </w:tcPr>
          <w:p>
            <w:pPr>
              <w:spacing w:after="40" w:before="40"/>
            </w:pPr>
            <w:r>
              <w:t>Tomato</w:t>
            </w:r>
          </w:p>
        </w:tc>
        <w:tc>
          <w:tcPr>
            <w:tcW w:type="dxa" w:w="2520"/>
          </w:tcPr>
          <w:p>
            <w:pPr>
              <w:spacing w:after="40" w:before="40"/>
              <w:jc w:val="center"/>
            </w:pPr>
            <w:r>
              <w:t>86.2</w:t>
            </w:r>
          </w:p>
        </w:tc>
        <w:tc>
          <w:tcPr>
            <w:tcW w:type="dxa" w:w="2520"/>
          </w:tcPr>
          <w:p>
            <w:pPr>
              <w:spacing w:after="40" w:before="40"/>
              <w:jc w:val="center"/>
            </w:pPr>
            <w:r>
              <w:t>85.8</w:t>
            </w:r>
          </w:p>
        </w:tc>
        <w:tc>
          <w:tcPr>
            <w:tcW w:type="dxa" w:w="2520"/>
          </w:tcPr>
          <w:p>
            <w:pPr>
              <w:spacing w:after="40" w:before="40"/>
              <w:jc w:val="center"/>
            </w:pPr>
            <w:r>
              <w:t>Robust</w:t>
            </w:r>
          </w:p>
        </w:tc>
      </w:tr>
      <w:tr>
        <w:tc>
          <w:tcPr>
            <w:tcW w:type="dxa" w:w="2520"/>
          </w:tcPr>
          <w:p>
            <w:pPr>
              <w:spacing w:after="40" w:before="40"/>
            </w:pPr>
            <w:r>
              <w:t>Carrot</w:t>
            </w:r>
          </w:p>
        </w:tc>
        <w:tc>
          <w:tcPr>
            <w:tcW w:type="dxa" w:w="2520"/>
          </w:tcPr>
          <w:p>
            <w:pPr>
              <w:spacing w:after="40" w:before="40"/>
              <w:jc w:val="center"/>
            </w:pPr>
            <w:r>
              <w:t>86.0</w:t>
            </w:r>
          </w:p>
        </w:tc>
        <w:tc>
          <w:tcPr>
            <w:tcW w:type="dxa" w:w="2520"/>
          </w:tcPr>
          <w:p>
            <w:pPr>
              <w:spacing w:after="40" w:before="40"/>
              <w:jc w:val="center"/>
            </w:pPr>
            <w:r>
              <w:t>86.4</w:t>
            </w:r>
          </w:p>
        </w:tc>
        <w:tc>
          <w:tcPr>
            <w:tcW w:type="dxa" w:w="2520"/>
          </w:tcPr>
          <w:p>
            <w:pPr>
              <w:spacing w:after="40" w:before="40"/>
              <w:jc w:val="center"/>
            </w:pPr>
            <w:r>
              <w:t>Robust</w:t>
            </w:r>
          </w:p>
        </w:tc>
      </w:tr>
      <w:tr>
        <w:tc>
          <w:tcPr>
            <w:tcW w:type="dxa" w:w="2520"/>
          </w:tcPr>
          <w:p>
            <w:pPr>
              <w:spacing w:after="40" w:before="40"/>
            </w:pPr>
            <w:r>
              <w:t>Ginger</w:t>
            </w:r>
          </w:p>
        </w:tc>
        <w:tc>
          <w:tcPr>
            <w:tcW w:type="dxa" w:w="2520"/>
          </w:tcPr>
          <w:p>
            <w:pPr>
              <w:spacing w:after="40" w:before="40"/>
              <w:jc w:val="center"/>
            </w:pPr>
            <w:r>
              <w:t>85.7</w:t>
            </w:r>
          </w:p>
        </w:tc>
        <w:tc>
          <w:tcPr>
            <w:tcW w:type="dxa" w:w="2520"/>
          </w:tcPr>
          <w:p>
            <w:pPr>
              <w:spacing w:after="40" w:before="40"/>
              <w:jc w:val="center"/>
            </w:pPr>
            <w:r>
              <w:t>84.9</w:t>
            </w:r>
          </w:p>
        </w:tc>
        <w:tc>
          <w:tcPr>
            <w:tcW w:type="dxa" w:w="2520"/>
          </w:tcPr>
          <w:p>
            <w:pPr>
              <w:spacing w:after="40" w:before="40"/>
              <w:jc w:val="center"/>
            </w:pPr>
            <w:r>
              <w:t>Robust</w:t>
            </w:r>
          </w:p>
        </w:tc>
      </w:tr>
      <w:tr>
        <w:tc>
          <w:tcPr>
            <w:tcW w:type="dxa" w:w="2520"/>
          </w:tcPr>
          <w:p>
            <w:pPr>
              <w:spacing w:after="40" w:before="40"/>
            </w:pPr>
            <w:r>
              <w:t>Pineapple</w:t>
            </w:r>
          </w:p>
        </w:tc>
        <w:tc>
          <w:tcPr>
            <w:tcW w:type="dxa" w:w="2520"/>
          </w:tcPr>
          <w:p>
            <w:pPr>
              <w:spacing w:after="40" w:before="40"/>
              <w:jc w:val="center"/>
            </w:pPr>
            <w:r>
              <w:t>81.4</w:t>
            </w:r>
          </w:p>
        </w:tc>
        <w:tc>
          <w:tcPr>
            <w:tcW w:type="dxa" w:w="2520"/>
          </w:tcPr>
          <w:p>
            <w:pPr>
              <w:spacing w:after="40" w:before="40"/>
              <w:jc w:val="center"/>
            </w:pPr>
            <w:r>
              <w:t>80.9</w:t>
            </w:r>
          </w:p>
        </w:tc>
        <w:tc>
          <w:tcPr>
            <w:tcW w:type="dxa" w:w="2520"/>
          </w:tcPr>
          <w:p>
            <w:pPr>
              <w:spacing w:after="40" w:before="40"/>
              <w:jc w:val="center"/>
            </w:pPr>
            <w:r>
              <w:t>Robust</w:t>
            </w:r>
          </w:p>
        </w:tc>
      </w:tr>
      <w:tr>
        <w:tc>
          <w:tcPr>
            <w:tcW w:type="dxa" w:w="2520"/>
          </w:tcPr>
          <w:p>
            <w:pPr>
              <w:spacing w:after="40" w:before="40"/>
            </w:pPr>
            <w:r>
              <w:t>Potato</w:t>
            </w:r>
          </w:p>
        </w:tc>
        <w:tc>
          <w:tcPr>
            <w:tcW w:type="dxa" w:w="2520"/>
          </w:tcPr>
          <w:p>
            <w:pPr>
              <w:spacing w:after="40" w:before="40"/>
              <w:jc w:val="center"/>
            </w:pPr>
            <w:r>
              <w:t>72.1</w:t>
            </w:r>
          </w:p>
        </w:tc>
        <w:tc>
          <w:tcPr>
            <w:tcW w:type="dxa" w:w="2520"/>
          </w:tcPr>
          <w:p>
            <w:pPr>
              <w:spacing w:after="40" w:before="40"/>
              <w:jc w:val="center"/>
            </w:pPr>
            <w:r>
              <w:t>71.5</w:t>
            </w:r>
          </w:p>
        </w:tc>
        <w:tc>
          <w:tcPr>
            <w:tcW w:type="dxa" w:w="2520"/>
          </w:tcPr>
          <w:p>
            <w:pPr>
              <w:spacing w:after="40" w:before="40"/>
              <w:jc w:val="center"/>
            </w:pPr>
            <w:r>
              <w:t>Moderate</w:t>
            </w:r>
          </w:p>
        </w:tc>
      </w:tr>
      <w:tr>
        <w:tc>
          <w:tcPr>
            <w:tcW w:type="dxa" w:w="2520"/>
          </w:tcPr>
          <w:p>
            <w:pPr>
              <w:spacing w:after="40" w:before="40"/>
            </w:pPr>
            <w:r>
              <w:t>Turnip</w:t>
            </w:r>
          </w:p>
        </w:tc>
        <w:tc>
          <w:tcPr>
            <w:tcW w:type="dxa" w:w="2520"/>
          </w:tcPr>
          <w:p>
            <w:pPr>
              <w:spacing w:after="40" w:before="40"/>
              <w:jc w:val="center"/>
            </w:pPr>
            <w:r>
              <w:t>33.0</w:t>
            </w:r>
          </w:p>
        </w:tc>
        <w:tc>
          <w:tcPr>
            <w:tcW w:type="dxa" w:w="2520"/>
          </w:tcPr>
          <w:p>
            <w:pPr>
              <w:spacing w:after="40" w:before="40"/>
              <w:jc w:val="center"/>
            </w:pPr>
            <w:r>
              <w:t>32.8</w:t>
            </w:r>
          </w:p>
        </w:tc>
        <w:tc>
          <w:tcPr>
            <w:tcW w:type="dxa" w:w="2520"/>
          </w:tcPr>
          <w:p>
            <w:pPr>
              <w:spacing w:after="40" w:before="40"/>
              <w:jc w:val="center"/>
            </w:pPr>
            <w:r>
              <w:t>Challenging</w:t>
            </w:r>
          </w:p>
        </w:tc>
      </w:tr>
      <w:tr>
        <w:tc>
          <w:tcPr>
            <w:tcW w:type="dxa" w:w="2520"/>
          </w:tcPr>
          <w:p>
            <w:pPr>
              <w:spacing w:after="40" w:before="40"/>
            </w:pPr>
            <w:r>
              <w:t>Melon</w:t>
            </w:r>
          </w:p>
        </w:tc>
        <w:tc>
          <w:tcPr>
            <w:tcW w:type="dxa" w:w="2520"/>
          </w:tcPr>
          <w:p>
            <w:pPr>
              <w:spacing w:after="40" w:before="40"/>
              <w:jc w:val="center"/>
            </w:pPr>
            <w:r>
              <w:t>30.2</w:t>
            </w:r>
          </w:p>
        </w:tc>
        <w:tc>
          <w:tcPr>
            <w:tcW w:type="dxa" w:w="2520"/>
          </w:tcPr>
          <w:p>
            <w:pPr>
              <w:spacing w:after="40" w:before="40"/>
              <w:jc w:val="center"/>
            </w:pPr>
            <w:r>
              <w:t>30.0</w:t>
            </w:r>
          </w:p>
        </w:tc>
        <w:tc>
          <w:tcPr>
            <w:tcW w:type="dxa" w:w="2520"/>
          </w:tcPr>
          <w:p>
            <w:pPr>
              <w:spacing w:after="40" w:before="40"/>
              <w:jc w:val="center"/>
            </w:pPr>
            <w:r>
              <w:t>Challenging</w:t>
            </w:r>
          </w:p>
        </w:tc>
      </w:tr>
    </w:tbl>
    <w:p>
      <w:pPr>
        <w:spacing w:after="80"/>
      </w:pPr>
    </w:p>
    <w:p>
      <w:pPr>
        <w:spacing w:before="160" w:after="40"/>
        <w:jc w:val="left"/>
      </w:pPr>
      <w:r>
        <w:rPr>
          <w:rFonts w:ascii="Times New Roman" w:hAnsi="Times New Roman"/>
          <w:b/>
          <w:i/>
          <w:sz w:val="20"/>
        </w:rPr>
        <w:t>B. Mathematical Preprocessing Pipeline Parity</w:t>
      </w:r>
    </w:p>
    <w:p>
      <w:pPr>
        <w:spacing w:line="252" w:lineRule="auto" w:after="80"/>
        <w:jc w:val="both"/>
      </w:pPr>
      <w:r>
        <w:rPr>
          <w:rFonts w:ascii="Times New Roman" w:hAnsi="Times New Roman"/>
          <w:sz w:val="20"/>
        </w:rPr>
        <w:t>To quantitatively determine the impact of the rectangular letterbox preprocessing routine versus naive square image distortion, a rigorous golden verification test was implemented across sixteen diverse aspect-ratio test images. Table III contrasts the mathematical and empirical fidelity of both preprocessing implementations.</w:t>
      </w:r>
    </w:p>
    <w:p>
      <w:pPr>
        <w:jc w:val="center"/>
      </w:pPr>
      <w:r>
        <w:rPr>
          <w:b/>
          <w:sz w:val="19"/>
        </w:rPr>
        <w:t>TABLE III. QUANTITATIVE COMPARISON OF IMAGE PREPROCESSING PIPELINES</w:t>
      </w:r>
    </w:p>
    <w:tbl>
      <w:tblPr>
        <w:tblW w:type="auto" w:w="0"/>
        <w:jc w:val="center"/>
        <w:tblLook w:firstColumn="1" w:firstRow="1" w:lastColumn="0" w:lastRow="0" w:noHBand="0" w:noVBand="1" w:val="04A0"/>
      </w:tblPr>
      <w:tblGrid>
        <w:gridCol w:w="3360"/>
        <w:gridCol w:w="3360"/>
        <w:gridCol w:w="3360"/>
      </w:tblGrid>
      <w:tr>
        <w:tc>
          <w:tcPr>
            <w:tcW w:type="dxa" w:w="3360"/>
          </w:tcPr>
          <w:p>
            <w:pPr>
              <w:spacing w:after="40" w:before="40"/>
              <w:jc w:val="center"/>
            </w:pPr>
            <w:r>
              <w:rPr>
                <w:b/>
              </w:rPr>
              <w:t>Evaluation Criterion</w:t>
            </w:r>
          </w:p>
        </w:tc>
        <w:tc>
          <w:tcPr>
            <w:tcW w:type="dxa" w:w="3360"/>
          </w:tcPr>
          <w:p>
            <w:pPr>
              <w:spacing w:after="40" w:before="40"/>
              <w:jc w:val="center"/>
            </w:pPr>
            <w:r>
              <w:rPr>
                <w:b/>
              </w:rPr>
              <w:t>Naive Square Resizing</w:t>
            </w:r>
          </w:p>
        </w:tc>
        <w:tc>
          <w:tcPr>
            <w:tcW w:type="dxa" w:w="3360"/>
          </w:tcPr>
          <w:p>
            <w:pPr>
              <w:spacing w:after="40" w:before="40"/>
              <w:jc w:val="center"/>
            </w:pPr>
            <w:r>
              <w:rPr>
                <w:b/>
              </w:rPr>
              <w:t>Rectangular Letterbox (Ours)</w:t>
            </w:r>
          </w:p>
        </w:tc>
      </w:tr>
      <w:tr>
        <w:tc>
          <w:tcPr>
            <w:tcW w:type="dxa" w:w="3360"/>
          </w:tcPr>
          <w:p>
            <w:pPr>
              <w:spacing w:after="40" w:before="40"/>
            </w:pPr>
            <w:r>
              <w:t>Mean Pixel Deviation (vs. PyTorch)</w:t>
            </w:r>
          </w:p>
        </w:tc>
        <w:tc>
          <w:tcPr>
            <w:tcW w:type="dxa" w:w="3360"/>
          </w:tcPr>
          <w:p>
            <w:pPr>
              <w:spacing w:after="40" w:before="40"/>
              <w:jc w:val="center"/>
            </w:pPr>
            <w:r>
              <w:t>37.0 Grey Levels</w:t>
            </w:r>
          </w:p>
        </w:tc>
        <w:tc>
          <w:tcPr>
            <w:tcW w:type="dxa" w:w="3360"/>
          </w:tcPr>
          <w:p>
            <w:pPr>
              <w:spacing w:after="40" w:before="40"/>
              <w:jc w:val="center"/>
            </w:pPr>
            <w:r>
              <w:t>1.2 Grey Levels</w:t>
            </w:r>
          </w:p>
        </w:tc>
      </w:tr>
      <w:tr>
        <w:tc>
          <w:tcPr>
            <w:tcW w:type="dxa" w:w="3360"/>
          </w:tcPr>
          <w:p>
            <w:pPr>
              <w:spacing w:after="40" w:before="40"/>
            </w:pPr>
            <w:r>
              <w:t>Preprocessing Misdetection Rate</w:t>
            </w:r>
          </w:p>
        </w:tc>
        <w:tc>
          <w:tcPr>
            <w:tcW w:type="dxa" w:w="3360"/>
          </w:tcPr>
          <w:p>
            <w:pPr>
              <w:spacing w:after="40" w:before="40"/>
              <w:jc w:val="center"/>
            </w:pPr>
            <w:r>
              <w:t>15.0% (3/20 images)</w:t>
            </w:r>
          </w:p>
        </w:tc>
        <w:tc>
          <w:tcPr>
            <w:tcW w:type="dxa" w:w="3360"/>
          </w:tcPr>
          <w:p>
            <w:pPr>
              <w:spacing w:after="40" w:before="40"/>
              <w:jc w:val="center"/>
            </w:pPr>
            <w:r>
              <w:t>&lt; 2.0% (0/20 failures)</w:t>
            </w:r>
          </w:p>
        </w:tc>
      </w:tr>
      <w:tr>
        <w:tc>
          <w:tcPr>
            <w:tcW w:type="dxa" w:w="3360"/>
          </w:tcPr>
          <w:p>
            <w:pPr>
              <w:spacing w:after="40" w:before="40"/>
            </w:pPr>
            <w:r>
              <w:t>Aspect Ratio Geometric Integrity</w:t>
            </w:r>
          </w:p>
        </w:tc>
        <w:tc>
          <w:tcPr>
            <w:tcW w:type="dxa" w:w="3360"/>
          </w:tcPr>
          <w:p>
            <w:pPr>
              <w:spacing w:after="40" w:before="40"/>
              <w:jc w:val="center"/>
            </w:pPr>
            <w:r>
              <w:t>Severely Distorted</w:t>
            </w:r>
          </w:p>
        </w:tc>
        <w:tc>
          <w:tcPr>
            <w:tcW w:type="dxa" w:w="3360"/>
          </w:tcPr>
          <w:p>
            <w:pPr>
              <w:spacing w:after="40" w:before="40"/>
              <w:jc w:val="center"/>
            </w:pPr>
            <w:r>
              <w:t>Strictly Preserved</w:t>
            </w:r>
          </w:p>
        </w:tc>
      </w:tr>
      <w:tr>
        <w:tc>
          <w:tcPr>
            <w:tcW w:type="dxa" w:w="3360"/>
          </w:tcPr>
          <w:p>
            <w:pPr>
              <w:spacing w:after="40" w:before="40"/>
            </w:pPr>
            <w:r>
              <w:t>Relative Tensor FLOPs Overhead</w:t>
            </w:r>
          </w:p>
        </w:tc>
        <w:tc>
          <w:tcPr>
            <w:tcW w:type="dxa" w:w="3360"/>
          </w:tcPr>
          <w:p>
            <w:pPr>
              <w:spacing w:after="40" w:before="40"/>
              <w:jc w:val="center"/>
            </w:pPr>
            <w:r>
              <w:t>Baseline (100%)</w:t>
            </w:r>
          </w:p>
        </w:tc>
        <w:tc>
          <w:tcPr>
            <w:tcW w:type="dxa" w:w="3360"/>
          </w:tcPr>
          <w:p>
            <w:pPr>
              <w:spacing w:after="40" w:before="40"/>
              <w:jc w:val="center"/>
            </w:pPr>
            <w:r>
              <w:t>Reduced by 25% to 45%</w:t>
            </w:r>
          </w:p>
        </w:tc>
      </w:tr>
    </w:tbl>
    <w:p>
      <w:pPr>
        <w:spacing w:after="80"/>
      </w:pPr>
    </w:p>
    <w:p>
      <w:pPr>
        <w:spacing w:before="160" w:after="40"/>
        <w:jc w:val="left"/>
      </w:pPr>
      <w:r>
        <w:rPr>
          <w:rFonts w:ascii="Times New Roman" w:hAnsi="Times New Roman"/>
          <w:b/>
          <w:i/>
          <w:sz w:val="20"/>
        </w:rPr>
        <w:t>C. Comparative Benchmark Against Literature</w:t>
      </w:r>
    </w:p>
    <w:p>
      <w:pPr>
        <w:spacing w:line="252" w:lineRule="auto" w:after="80"/>
        <w:jc w:val="both"/>
      </w:pPr>
      <w:r>
        <w:rPr>
          <w:rFonts w:ascii="Times New Roman" w:hAnsi="Times New Roman"/>
          <w:sz w:val="20"/>
        </w:rPr>
        <w:t>Table IV situates Smart Pantry within the landscape of recent automated food computing and visual recognition frameworks.</w:t>
      </w:r>
    </w:p>
    <w:p>
      <w:pPr>
        <w:jc w:val="center"/>
      </w:pPr>
      <w:r>
        <w:rPr>
          <w:b/>
          <w:sz w:val="19"/>
        </w:rPr>
        <w:t>TABLE IV. BENCHMARK COMPARISON WITH STATE-OF-THE-ART FOOD COMPUTING WORKS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Pr>
          <w:p>
            <w:pPr>
              <w:spacing w:after="40" w:before="40"/>
              <w:jc w:val="center"/>
            </w:pPr>
            <w:r>
              <w:rPr>
                <w:b/>
              </w:rPr>
              <w:t>Investigation</w:t>
            </w:r>
          </w:p>
        </w:tc>
        <w:tc>
          <w:tcPr>
            <w:tcW w:type="dxa" w:w="2016"/>
          </w:tcPr>
          <w:p>
            <w:pPr>
              <w:spacing w:after="40" w:before="40"/>
              <w:jc w:val="center"/>
            </w:pPr>
            <w:r>
              <w:rPr>
                <w:b/>
              </w:rPr>
              <w:t>Algorithmic Methodology</w:t>
            </w:r>
          </w:p>
        </w:tc>
        <w:tc>
          <w:tcPr>
            <w:tcW w:type="dxa" w:w="2016"/>
          </w:tcPr>
          <w:p>
            <w:pPr>
              <w:spacing w:after="40" w:before="40"/>
              <w:jc w:val="center"/>
            </w:pPr>
            <w:r>
              <w:rPr>
                <w:b/>
              </w:rPr>
              <w:t>Task Domain</w:t>
            </w:r>
          </w:p>
        </w:tc>
        <w:tc>
          <w:tcPr>
            <w:tcW w:type="dxa" w:w="2016"/>
          </w:tcPr>
          <w:p>
            <w:pPr>
              <w:spacing w:after="40" w:before="40"/>
              <w:jc w:val="center"/>
            </w:pPr>
            <w:r>
              <w:rPr>
                <w:b/>
              </w:rPr>
              <w:t>Reported Metric</w:t>
            </w:r>
          </w:p>
        </w:tc>
        <w:tc>
          <w:tcPr>
            <w:tcW w:type="dxa" w:w="2016"/>
          </w:tcPr>
          <w:p>
            <w:pPr>
              <w:spacing w:after="40" w:before="40"/>
              <w:jc w:val="center"/>
            </w:pPr>
            <w:r>
              <w:rPr>
                <w:b/>
              </w:rPr>
              <w:t>Edge Native</w:t>
            </w:r>
          </w:p>
        </w:tc>
      </w:tr>
      <w:tr>
        <w:tc>
          <w:tcPr>
            <w:tcW w:type="dxa" w:w="2016"/>
          </w:tcPr>
          <w:p>
            <w:pPr>
              <w:spacing w:after="40" w:before="40"/>
            </w:pPr>
            <w:r>
              <w:t>Bossard et al. [5]</w:t>
            </w:r>
          </w:p>
        </w:tc>
        <w:tc>
          <w:tcPr>
            <w:tcW w:type="dxa" w:w="2016"/>
          </w:tcPr>
          <w:p>
            <w:pPr>
              <w:spacing w:after="40" w:before="40"/>
            </w:pPr>
            <w:r>
              <w:t>Random Forest Components</w:t>
            </w:r>
          </w:p>
        </w:tc>
        <w:tc>
          <w:tcPr>
            <w:tcW w:type="dxa" w:w="2016"/>
          </w:tcPr>
          <w:p>
            <w:pPr>
              <w:spacing w:after="40" w:before="40"/>
            </w:pPr>
            <w:r>
              <w:t>Food-101 Classification</w:t>
            </w:r>
          </w:p>
        </w:tc>
        <w:tc>
          <w:tcPr>
            <w:tcW w:type="dxa" w:w="2016"/>
          </w:tcPr>
          <w:p>
            <w:pPr>
              <w:spacing w:after="40" w:before="40"/>
              <w:jc w:val="center"/>
            </w:pPr>
            <w:r>
              <w:t>50.76% Top-1</w:t>
            </w:r>
          </w:p>
        </w:tc>
        <w:tc>
          <w:tcPr>
            <w:tcW w:type="dxa" w:w="2016"/>
          </w:tcPr>
          <w:p>
            <w:pPr>
              <w:spacing w:after="40" w:before="40"/>
              <w:jc w:val="center"/>
            </w:pPr>
            <w:r>
              <w:t>No (Server)</w:t>
            </w:r>
          </w:p>
        </w:tc>
      </w:tr>
      <w:tr>
        <w:tc>
          <w:tcPr>
            <w:tcW w:type="dxa" w:w="2016"/>
          </w:tcPr>
          <w:p>
            <w:pPr>
              <w:spacing w:after="40" w:before="40"/>
            </w:pPr>
            <w:r>
              <w:t>Yanai &amp; Kawano [6]</w:t>
            </w:r>
          </w:p>
        </w:tc>
        <w:tc>
          <w:tcPr>
            <w:tcW w:type="dxa" w:w="2016"/>
          </w:tcPr>
          <w:p>
            <w:pPr>
              <w:spacing w:after="40" w:before="40"/>
            </w:pPr>
            <w:r>
              <w:t>Deep Transfer CNN</w:t>
            </w:r>
          </w:p>
        </w:tc>
        <w:tc>
          <w:tcPr>
            <w:tcW w:type="dxa" w:w="2016"/>
          </w:tcPr>
          <w:p>
            <w:pPr>
              <w:spacing w:after="40" w:before="40"/>
            </w:pPr>
            <w:r>
              <w:t>Multi-Food Classification</w:t>
            </w:r>
          </w:p>
        </w:tc>
        <w:tc>
          <w:tcPr>
            <w:tcW w:type="dxa" w:w="2016"/>
          </w:tcPr>
          <w:p>
            <w:pPr>
              <w:spacing w:after="40" w:before="40"/>
              <w:jc w:val="center"/>
            </w:pPr>
            <w:r>
              <w:t>78.77% Top-1</w:t>
            </w:r>
          </w:p>
        </w:tc>
        <w:tc>
          <w:tcPr>
            <w:tcW w:type="dxa" w:w="2016"/>
          </w:tcPr>
          <w:p>
            <w:pPr>
              <w:spacing w:after="40" w:before="40"/>
              <w:jc w:val="center"/>
            </w:pPr>
            <w:r>
              <w:t>No (Server)</w:t>
            </w:r>
          </w:p>
        </w:tc>
      </w:tr>
      <w:tr>
        <w:tc>
          <w:tcPr>
            <w:tcW w:type="dxa" w:w="2016"/>
          </w:tcPr>
          <w:p>
            <w:pPr>
              <w:spacing w:after="40" w:before="40"/>
            </w:pPr>
            <w:r>
              <w:t>Hassannejad [7]</w:t>
            </w:r>
          </w:p>
        </w:tc>
        <w:tc>
          <w:tcPr>
            <w:tcW w:type="dxa" w:w="2016"/>
          </w:tcPr>
          <w:p>
            <w:pPr>
              <w:spacing w:after="40" w:before="40"/>
            </w:pPr>
            <w:r>
              <w:t>GoogLeNet / ResNet</w:t>
            </w:r>
          </w:p>
        </w:tc>
        <w:tc>
          <w:tcPr>
            <w:tcW w:type="dxa" w:w="2016"/>
          </w:tcPr>
          <w:p>
            <w:pPr>
              <w:spacing w:after="40" w:before="40"/>
            </w:pPr>
            <w:r>
              <w:t>Fine-Grained Classification</w:t>
            </w:r>
          </w:p>
        </w:tc>
        <w:tc>
          <w:tcPr>
            <w:tcW w:type="dxa" w:w="2016"/>
          </w:tcPr>
          <w:p>
            <w:pPr>
              <w:spacing w:after="40" w:before="40"/>
              <w:jc w:val="center"/>
            </w:pPr>
            <w:r>
              <w:t>84.29% Top-1</w:t>
            </w:r>
          </w:p>
        </w:tc>
        <w:tc>
          <w:tcPr>
            <w:tcW w:type="dxa" w:w="2016"/>
          </w:tcPr>
          <w:p>
            <w:pPr>
              <w:spacing w:after="40" w:before="40"/>
              <w:jc w:val="center"/>
            </w:pPr>
            <w:r>
              <w:t>No (Server)</w:t>
            </w:r>
          </w:p>
        </w:tc>
      </w:tr>
      <w:tr>
        <w:tc>
          <w:tcPr>
            <w:tcW w:type="dxa" w:w="2016"/>
          </w:tcPr>
          <w:p>
            <w:pPr>
              <w:spacing w:after="40" w:before="40"/>
            </w:pPr>
            <w:r>
              <w:t>Min et al. [16]</w:t>
            </w:r>
          </w:p>
        </w:tc>
        <w:tc>
          <w:tcPr>
            <w:tcW w:type="dxa" w:w="2016"/>
          </w:tcPr>
          <w:p>
            <w:pPr>
              <w:spacing w:after="40" w:before="40"/>
            </w:pPr>
            <w:r>
              <w:t>CNN-LSTM Multi-Task</w:t>
            </w:r>
          </w:p>
        </w:tc>
        <w:tc>
          <w:tcPr>
            <w:tcW w:type="dxa" w:w="2016"/>
          </w:tcPr>
          <w:p>
            <w:pPr>
              <w:spacing w:after="40" w:before="40"/>
            </w:pPr>
            <w:r>
              <w:t>Visual Recipe Recognition</w:t>
            </w:r>
          </w:p>
        </w:tc>
        <w:tc>
          <w:tcPr>
            <w:tcW w:type="dxa" w:w="2016"/>
          </w:tcPr>
          <w:p>
            <w:pPr>
              <w:spacing w:after="40" w:before="40"/>
              <w:jc w:val="center"/>
            </w:pPr>
            <w:r>
              <w:t>86.97% Top-1</w:t>
            </w:r>
          </w:p>
        </w:tc>
        <w:tc>
          <w:tcPr>
            <w:tcW w:type="dxa" w:w="2016"/>
          </w:tcPr>
          <w:p>
            <w:pPr>
              <w:spacing w:after="40" w:before="40"/>
              <w:jc w:val="center"/>
            </w:pPr>
            <w:r>
              <w:t>No (Server)</w:t>
            </w:r>
          </w:p>
        </w:tc>
      </w:tr>
      <w:tr>
        <w:tc>
          <w:tcPr>
            <w:tcW w:type="dxa" w:w="2016"/>
          </w:tcPr>
          <w:p>
            <w:pPr>
              <w:spacing w:after="40" w:before="40"/>
            </w:pPr>
            <w:r>
              <w:t>Barcode Utilities</w:t>
            </w:r>
          </w:p>
        </w:tc>
        <w:tc>
          <w:tcPr>
            <w:tcW w:type="dxa" w:w="2016"/>
          </w:tcPr>
          <w:p>
            <w:pPr>
              <w:spacing w:after="40" w:before="40"/>
            </w:pPr>
            <w:r>
              <w:t>1D/2D Symbology Scan</w:t>
            </w:r>
          </w:p>
        </w:tc>
        <w:tc>
          <w:tcPr>
            <w:tcW w:type="dxa" w:w="2016"/>
          </w:tcPr>
          <w:p>
            <w:pPr>
              <w:spacing w:after="40" w:before="40"/>
            </w:pPr>
            <w:r>
              <w:t>Packaged Goods Logging</w:t>
            </w:r>
          </w:p>
        </w:tc>
        <w:tc>
          <w:tcPr>
            <w:tcW w:type="dxa" w:w="2016"/>
          </w:tcPr>
          <w:p>
            <w:pPr>
              <w:spacing w:after="40" w:before="40"/>
              <w:jc w:val="center"/>
            </w:pPr>
            <w:r>
              <w:t>Deterministic</w:t>
            </w:r>
          </w:p>
        </w:tc>
        <w:tc>
          <w:tcPr>
            <w:tcW w:type="dxa" w:w="2016"/>
          </w:tcPr>
          <w:p>
            <w:pPr>
              <w:spacing w:after="40" w:before="40"/>
              <w:jc w:val="center"/>
            </w:pPr>
            <w:r>
              <w:t>Yes (Local)</w:t>
            </w:r>
          </w:p>
        </w:tc>
      </w:tr>
      <w:tr>
        <w:tc>
          <w:tcPr>
            <w:tcW w:type="dxa" w:w="2016"/>
          </w:tcPr>
          <w:p>
            <w:pPr>
              <w:spacing w:after="40" w:before="40"/>
            </w:pPr>
            <w:r>
              <w:t>This Work</w:t>
            </w:r>
          </w:p>
        </w:tc>
        <w:tc>
          <w:tcPr>
            <w:tcW w:type="dxa" w:w="2016"/>
          </w:tcPr>
          <w:p>
            <w:pPr>
              <w:spacing w:after="40" w:before="40"/>
            </w:pPr>
            <w:r>
              <w:t>YOLOv8m + ONNX Runtime</w:t>
            </w:r>
          </w:p>
        </w:tc>
        <w:tc>
          <w:tcPr>
            <w:tcW w:type="dxa" w:w="2016"/>
          </w:tcPr>
          <w:p>
            <w:pPr>
              <w:spacing w:after="40" w:before="40"/>
            </w:pPr>
            <w:r>
              <w:t>35-Class Produce Detection</w:t>
            </w:r>
          </w:p>
        </w:tc>
        <w:tc>
          <w:tcPr>
            <w:tcW w:type="dxa" w:w="2016"/>
          </w:tcPr>
          <w:p>
            <w:pPr>
              <w:spacing w:after="40" w:before="40"/>
              <w:jc w:val="center"/>
            </w:pPr>
            <w:r>
              <w:t>91.30% mAP@50</w:t>
            </w:r>
          </w:p>
        </w:tc>
        <w:tc>
          <w:tcPr>
            <w:tcW w:type="dxa" w:w="2016"/>
          </w:tcPr>
          <w:p>
            <w:pPr>
              <w:spacing w:after="40" w:before="40"/>
              <w:jc w:val="center"/>
            </w:pPr>
            <w:r>
              <w:t>Yes (Fully Local)</w:t>
            </w:r>
          </w:p>
        </w:tc>
      </w:tr>
    </w:tbl>
    <w:p>
      <w:pPr>
        <w:spacing w:after="80"/>
      </w:pPr>
    </w:p>
    <w:p>
      <w:pPr>
        <w:spacing w:before="200" w:after="80"/>
        <w:jc w:val="left"/>
      </w:pPr>
      <w:r>
        <w:rPr>
          <w:rFonts w:ascii="Times New Roman" w:hAnsi="Times New Roman"/>
          <w:b/>
          <w:sz w:val="22"/>
        </w:rPr>
        <w:t>V. DISCUSSION</w:t>
      </w:r>
    </w:p>
    <w:p>
      <w:pPr>
        <w:spacing w:line="252" w:lineRule="auto" w:after="80"/>
        <w:jc w:val="both"/>
      </w:pPr>
      <w:r>
        <w:rPr>
          <w:rFonts w:ascii="Times New Roman" w:hAnsi="Times New Roman"/>
          <w:sz w:val="20"/>
        </w:rPr>
        <w:t>The experimental validation establishes that deploying a medium-capacity convolutional detector directly upon consumer mobile runtime environments provides exceptional domain precision while safeguarding operational independence. The observed 91.3% mAP@50 proves highly effective for routine domestic guidance. Per-class analysis indicates that visually distinctive cultivars (Apple, Banana, Cabbage) achieve near-perfect detection rates, whereas visually amorphous or morphologically diverse items (Turnip, Melon) exhibit suppressed precision due to limited sample diversity. The human-in-the-loop review architecture cleanly absorbs these tail-distribution ambiguities, transforming potential machine errors into interactive correction telemetry.</w:t>
      </w:r>
    </w:p>
    <w:p>
      <w:pPr>
        <w:spacing w:line="252" w:lineRule="auto" w:after="80"/>
        <w:jc w:val="both"/>
      </w:pPr>
      <w:r>
        <w:rPr>
          <w:rFonts w:ascii="Times New Roman" w:hAnsi="Times New Roman"/>
          <w:sz w:val="20"/>
        </w:rPr>
        <w:t>Crucially, the verification tests detailed in Table III demonstrate that preserving geometric aspect ratios during tensor preparation is non-negotiable for edge vision accuracy. Naive image warping shifts normalized feature maps across spatial anchors, corrupting box regressions. By rectifying this via stride-aligned letterboxing, mathematical drift between server PyTorch workflows and client ONNX execution is compressed to negligible interpolation tolerances (1.2 grey levels).</w:t>
      </w:r>
    </w:p>
    <w:p>
      <w:pPr>
        <w:spacing w:before="200" w:after="80"/>
        <w:jc w:val="left"/>
      </w:pPr>
      <w:r>
        <w:rPr>
          <w:rFonts w:ascii="Times New Roman" w:hAnsi="Times New Roman"/>
          <w:b/>
          <w:sz w:val="22"/>
        </w:rPr>
        <w:t>VI. CONCLUSION AND FUTURE SCOPE</w:t>
      </w:r>
    </w:p>
    <w:p>
      <w:pPr>
        <w:spacing w:line="252" w:lineRule="auto" w:after="80"/>
        <w:jc w:val="both"/>
      </w:pPr>
      <w:r>
        <w:rPr>
          <w:rFonts w:ascii="Times New Roman" w:hAnsi="Times New Roman"/>
          <w:sz w:val="20"/>
        </w:rPr>
        <w:t>This paper formulated Smart Pantry, an integrated on-device produce detection and autonomous inventory management framework that bridges the gap between deep vision research and real-world domestic food preservation. Operating entirely on client handsets through an optimized YOLOv8m ONNX model, the system executes real-time multi-target detection across 35 agricultural produce categories without requiring continuous internet connectivity. The aspect-preserving rectangular letterboxing pipeline guarantees strict mathematical alignment with deep learning training standards, eliminating distortion-induced false positives while saving up to 45% in spatial computation.</w:t>
      </w:r>
    </w:p>
    <w:p>
      <w:pPr>
        <w:spacing w:line="252" w:lineRule="auto" w:after="80"/>
        <w:jc w:val="both"/>
      </w:pPr>
      <w:r>
        <w:rPr>
          <w:rFonts w:ascii="Times New Roman" w:hAnsi="Times New Roman"/>
          <w:sz w:val="20"/>
        </w:rPr>
        <w:t>Future iterations will explore INT8 post-training quantization to reduce the 104 MB binary footprint down to under 30 MB, enabling faster execution on entry-tier mobile chipsets. Furthermore, continuous active learning loops can be structured around the backend correction telemetry, automatically synthesizing hard-negative samples to retrain challenging classes such as melons and turnips, advancing the paradigm of ubiquitous intelligent household edge systems.</w:t>
      </w:r>
    </w:p>
    <w:p>
      <w:pPr>
        <w:spacing w:before="200" w:after="80"/>
        <w:jc w:val="left"/>
      </w:pPr>
      <w:r>
        <w:rPr>
          <w:rFonts w:ascii="Times New Roman" w:hAnsi="Times New Roman"/>
          <w:b/>
          <w:sz w:val="22"/>
        </w:rPr>
        <w:t>REFERENCES</w:t>
      </w:r>
    </w:p>
    <w:p>
      <w:pPr>
        <w:spacing w:after="40" w:line="252" w:lineRule="auto"/>
        <w:jc w:val="both"/>
      </w:pPr>
      <w:r>
        <w:rPr>
          <w:rFonts w:ascii="Times New Roman" w:hAnsi="Times New Roman"/>
          <w:sz w:val="17"/>
        </w:rPr>
        <w:t>[1] Food and Agriculture Organization of the United Nations, "Food Loss and Waste Database," FAO Statistics Division, Rome, 2024. [Online]. Available: https://www.fao.org/food-loss-and-food-waste/</w:t>
      </w:r>
    </w:p>
    <w:p>
      <w:pPr>
        <w:spacing w:after="40" w:line="252" w:lineRule="auto"/>
        <w:jc w:val="both"/>
      </w:pPr>
      <w:r>
        <w:rPr>
          <w:rFonts w:ascii="Times New Roman" w:hAnsi="Times New Roman"/>
          <w:sz w:val="17"/>
        </w:rPr>
        <w:t>[2] S. Parfitt, M. Barthel, and S. Macnaughton, "Food waste within food supply chains: quantification and potential for change to 2050," Philosophical Transactions of the Royal Society B, vol. 365, no. 1554, pp. 3065–3081, 2010.</w:t>
      </w:r>
    </w:p>
    <w:p>
      <w:pPr>
        <w:spacing w:after="40" w:line="252" w:lineRule="auto"/>
        <w:jc w:val="both"/>
      </w:pPr>
      <w:r>
        <w:rPr>
          <w:rFonts w:ascii="Times New Roman" w:hAnsi="Times New Roman"/>
          <w:sz w:val="17"/>
        </w:rPr>
        <w:t>[3] J. Gustavsson, C. Cederberg, U. Sonesson, R. van Otterdijk, and A. Meybeck, "Global food losses and food waste—extent, causes and prevention," FAO, Rome, Tech. Rep., 2011.</w:t>
      </w:r>
    </w:p>
    <w:p>
      <w:pPr>
        <w:spacing w:after="40" w:line="252" w:lineRule="auto"/>
        <w:jc w:val="both"/>
      </w:pPr>
      <w:r>
        <w:rPr>
          <w:rFonts w:ascii="Times New Roman" w:hAnsi="Times New Roman"/>
          <w:sz w:val="17"/>
        </w:rPr>
        <w:t>[4] W. Min, S. Jiang, L. Liu, Y. Rui, and R. Jain, "A Survey on Food Computing," ACM Computing Surveys, vol. 52, no. 5, pp. 1–36, 2019.</w:t>
      </w:r>
    </w:p>
    <w:p>
      <w:pPr>
        <w:spacing w:after="40" w:line="252" w:lineRule="auto"/>
        <w:jc w:val="both"/>
      </w:pPr>
      <w:r>
        <w:rPr>
          <w:rFonts w:ascii="Times New Roman" w:hAnsi="Times New Roman"/>
          <w:sz w:val="17"/>
        </w:rPr>
        <w:t>[5] L. Bossard, M. Guillaumin, and L. Van Gool, "Food-101 — Mining Discriminative Components with Random Forests," in Proc. European Conference on Computer Vision (ECCV), 2014, pp. 446–461.</w:t>
      </w:r>
    </w:p>
    <w:p>
      <w:pPr>
        <w:spacing w:after="40" w:line="252" w:lineRule="auto"/>
        <w:jc w:val="both"/>
      </w:pPr>
      <w:r>
        <w:rPr>
          <w:rFonts w:ascii="Times New Roman" w:hAnsi="Times New Roman"/>
          <w:sz w:val="17"/>
        </w:rPr>
        <w:t>[6] K. Yanai and Y. Kawano, "Food image recognition using deep convolutional network with pre-training and fine-tuning," in Proc. IEEE International Conference on Multimedia and Expo Workshops (ICMEW), 2015, pp. 1–6.</w:t>
      </w:r>
    </w:p>
    <w:p>
      <w:pPr>
        <w:spacing w:after="40" w:line="252" w:lineRule="auto"/>
        <w:jc w:val="both"/>
      </w:pPr>
      <w:r>
        <w:rPr>
          <w:rFonts w:ascii="Times New Roman" w:hAnsi="Times New Roman"/>
          <w:sz w:val="17"/>
        </w:rPr>
        <w:t>[7] H. Hassannejad, G. Matrella, P. Ciampolini, I. De Munari, M. Mordonini, and S. Cagnoni, "Food image recognition using very deep convolutional networks," in Proc. 2nd Int. Workshop on Multimedia Assisted Dietary Management, 2016, pp. 41–49.</w:t>
      </w:r>
    </w:p>
    <w:p>
      <w:pPr>
        <w:spacing w:after="40" w:line="252" w:lineRule="auto"/>
        <w:jc w:val="both"/>
      </w:pPr>
      <w:r>
        <w:rPr>
          <w:rFonts w:ascii="Times New Roman" w:hAnsi="Times New Roman"/>
          <w:sz w:val="17"/>
        </w:rPr>
        <w:t>[8] J. Redmon, S. Divvala, R. Girshick, and A. Farhadi, "You Only Look Once: Unified, Real-Time Object Detection," in Proc. IEEE Conference on Computer Vision and Pattern Recognition (CVPR), 2016, pp. 779–788.</w:t>
      </w:r>
    </w:p>
    <w:p>
      <w:pPr>
        <w:spacing w:after="40" w:line="252" w:lineRule="auto"/>
        <w:jc w:val="both"/>
      </w:pPr>
      <w:r>
        <w:rPr>
          <w:rFonts w:ascii="Times New Roman" w:hAnsi="Times New Roman"/>
          <w:sz w:val="17"/>
        </w:rPr>
        <w:t>[9] G. Jocher, A. Chaurasia, and J. Qiu, "Ultralytics YOLOv8 Architecture and Training Framework," GitHub Repository, 2023. [Online]. Available: https://github.com/ultralytics/ultralytics</w:t>
      </w:r>
    </w:p>
    <w:p>
      <w:pPr>
        <w:spacing w:after="40" w:line="252" w:lineRule="auto"/>
        <w:jc w:val="both"/>
      </w:pPr>
      <w:r>
        <w:rPr>
          <w:rFonts w:ascii="Times New Roman" w:hAnsi="Times New Roman"/>
          <w:sz w:val="17"/>
        </w:rPr>
        <w:t>[10] A. Bochkovskiy, C.-Y. Wang, and H.-Y. M. Liao, "YOLOv4: Optimal Speed and Accuracy of Object Detection," arXiv preprint arXiv:2004.10934, 2020.</w:t>
      </w:r>
    </w:p>
    <w:p>
      <w:pPr>
        <w:spacing w:after="40" w:line="252" w:lineRule="auto"/>
        <w:jc w:val="both"/>
      </w:pPr>
      <w:r>
        <w:rPr>
          <w:rFonts w:ascii="Times New Roman" w:hAnsi="Times New Roman"/>
          <w:sz w:val="17"/>
        </w:rPr>
        <w:t>[11] ONNX Runtime Developers, "ONNX Runtime: Cross-Platform, High-Performance ML Inferencing Accelerator," Linux Foundation, 2024. [Online]. Available: https://onnxruntime.ai/</w:t>
      </w:r>
    </w:p>
    <w:p>
      <w:pPr>
        <w:spacing w:after="40" w:line="252" w:lineRule="auto"/>
        <w:jc w:val="both"/>
      </w:pPr>
      <w:r>
        <w:rPr>
          <w:rFonts w:ascii="Times New Roman" w:hAnsi="Times New Roman"/>
          <w:sz w:val="17"/>
        </w:rPr>
        <w:t>[12] A. G. Howard et al., "MobileNets: Efficient Convolutional Neural Networks for Mobile Vision Applications," arXiv preprint arXiv:1704.04861, 2017.</w:t>
      </w:r>
    </w:p>
    <w:p>
      <w:pPr>
        <w:spacing w:after="40" w:line="252" w:lineRule="auto"/>
        <w:jc w:val="both"/>
      </w:pPr>
      <w:r>
        <w:rPr>
          <w:rFonts w:ascii="Times New Roman" w:hAnsi="Times New Roman"/>
          <w:sz w:val="17"/>
        </w:rPr>
        <w:t>[13] Y. Kang et al., "Neurosurgeon: Collaborative Intelligence Between the Cloud and Mobile Edge," in Proc. 22nd Int. Conf. on Architectural Support for Programming Languages and Operating Systems (ASPLOS), 2017, pp. 615–629.</w:t>
      </w:r>
    </w:p>
    <w:p>
      <w:pPr>
        <w:spacing w:after="40" w:line="252" w:lineRule="auto"/>
        <w:jc w:val="both"/>
      </w:pPr>
      <w:r>
        <w:rPr>
          <w:rFonts w:ascii="Times New Roman" w:hAnsi="Times New Roman"/>
          <w:sz w:val="17"/>
        </w:rPr>
        <w:t>[14] M. C. Ezovski, S. D. Simon, and R. J. Thorn, "Smart refrigerator systems using sensor networks for domestic inventory tracking and waste reduction," Journal of Food Engineering, vol. 238, pp. 85–93, 2018.</w:t>
      </w:r>
    </w:p>
    <w:p>
      <w:pPr>
        <w:spacing w:after="40" w:line="252" w:lineRule="auto"/>
        <w:jc w:val="both"/>
      </w:pPr>
      <w:r>
        <w:rPr>
          <w:rFonts w:ascii="Times New Roman" w:hAnsi="Times New Roman"/>
          <w:sz w:val="17"/>
        </w:rPr>
        <w:t>[15] Open Food Facts Consortium, "Open Food Facts Global Database," 2024. [Online]. Available: https://world.openfoodfacts.org/</w:t>
      </w:r>
    </w:p>
    <w:p>
      <w:pPr>
        <w:spacing w:after="40" w:line="252" w:lineRule="auto"/>
        <w:jc w:val="both"/>
      </w:pPr>
      <w:r>
        <w:rPr>
          <w:rFonts w:ascii="Times New Roman" w:hAnsi="Times New Roman"/>
          <w:sz w:val="17"/>
        </w:rPr>
        <w:t>[16] W. Min, B.-K. Bao, and C. Xu, "Cross-Platform Multi-Modal Recipe Retrieval With Deep Embedding," IEEE Transactions on Multimedia, vol. 22, no. 9, pp. 2417–2428, 2020.</w:t>
      </w:r>
    </w:p>
    <w:p>
      <w:pPr>
        <w:spacing w:after="40" w:line="252" w:lineRule="auto"/>
        <w:jc w:val="both"/>
      </w:pPr>
      <w:r>
        <w:rPr>
          <w:rFonts w:ascii="Times New Roman" w:hAnsi="Times New Roman"/>
          <w:sz w:val="17"/>
        </w:rPr>
        <w:t>[17] S. Han, H. Mao, and W. J. Dally, "Deep Compression: Compressing Deep Neural Networks with Pruning, Trained Quantization and Huffman Coding," in Proc. International Conference on Learning Representations (ICLR), 2016.</w:t>
      </w:r>
    </w:p>
    <w:p>
      <w:pPr>
        <w:spacing w:after="40" w:line="252" w:lineRule="auto"/>
        <w:jc w:val="both"/>
      </w:pPr>
      <w:r>
        <w:rPr>
          <w:rFonts w:ascii="Times New Roman" w:hAnsi="Times New Roman"/>
          <w:sz w:val="17"/>
        </w:rPr>
        <w:t>[18] R. David et al., "TensorFlow Lite Micro: Embedded Machine Learning for TinyML Systems," in Proc. Machine Learning and Systems (MLSys), 2021, pp. 800–811.</w:t>
      </w:r>
    </w:p>
    <w:p>
      <w:pPr>
        <w:spacing w:after="40" w:line="252" w:lineRule="auto"/>
        <w:jc w:val="both"/>
      </w:pPr>
      <w:r>
        <w:rPr>
          <w:rFonts w:ascii="Times New Roman" w:hAnsi="Times New Roman"/>
          <w:sz w:val="17"/>
        </w:rPr>
        <w:t>[19] N. D. Lane et al., "DeepX: A Software Accelerator for Low-Power Deep Learning Inference on Mobile Devices," in Proc. 15th ACM/IEEE Int. Conf. on Information Processing in Sensor Networks (IPSN), 2016, pp. 1–12.</w:t>
      </w:r>
    </w:p>
    <w:p>
      <w:pPr>
        <w:spacing w:after="40" w:line="252" w:lineRule="auto"/>
        <w:jc w:val="both"/>
      </w:pPr>
      <w:r>
        <w:rPr>
          <w:rFonts w:ascii="Times New Roman" w:hAnsi="Times New Roman"/>
          <w:sz w:val="17"/>
        </w:rPr>
        <w:t>[20] Roboflow, "Fruits and Vegi v13-version8 Dataset in YOLOv8 Annotation Specification," Roboflow Universe, 2024. [Online]. Available: https://universe.roboflow.com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