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F2A44"/>
          <w:sz w:val="40"/>
          <w:szCs w:val="40"/>
        </w:rPr>
        <w:t xml:space="preserve">[Startup / Project Name]</w:t>
      </w:r>
    </w:p>
    <w:p>
      <w:pPr>
        <w:spacing w:after="60"/>
      </w:pPr>
      <w:r>
        <w:rPr>
          <w:i/>
          <w:iCs/>
        </w:rPr>
        <w:t xml:space="preserve">[One-line description  |  Sector  |  Stage  —  e.g. Edge-AI diagnostic device for point-of-care stroke detection  |  MedTech / AI  |  Seed → Series A]</w:t>
      </w:r>
    </w:p>
    <w:p>
      <w:pPr>
        <w:spacing w:after="240"/>
      </w:pPr>
      <w:r>
        <w:rPr>
          <w:i/>
          <w:iCs/>
        </w:rPr>
        <w:t xml:space="preserve">Quarterly Review — [Q1 / Q2 / Q3 / Q4] [FY]  |  Submitted by [Name, Role]  |  ARTPARK POC: [Name]  |  Confidential</w:t>
      </w:r>
    </w:p>
    <w:p>
      <w:pPr>
        <w:pBdr>
          <w:bottom w:val="single" w:color="0F2A44" w:sz="8" w:space="4"/>
        </w:pBdr>
        <w:spacing w:after="220"/>
      </w:pPr>
      <w:r>
        <w:t xml:space="preserve"/>
      </w:r>
    </w:p>
    <w:p>
      <w:pPr>
        <w:pBdr>
          <w:top w:val="single" w:color="F59E0B" w:sz="4" w:space="6"/>
          <w:bottom w:val="single" w:color="F59E0B" w:sz="4" w:space="6"/>
          <w:left w:val="single" w:color="F59E0B" w:sz="4" w:space="6"/>
          <w:right w:val="single" w:color="F59E0B" w:sz="4" w:space="6"/>
        </w:pBdr>
        <w:shd w:fill="FFF8E1" w:color="auto" w:val="clear"/>
        <w:spacing w:after="120"/>
      </w:pPr>
      <w:r>
        <w:rPr>
          <w:b/>
          <w:bCs/>
        </w:rPr>
        <w:t xml:space="preserve">About this template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This is a </w:t>
      </w:r>
      <w:r>
        <w:rPr>
          <w:b/>
          <w:bCs/>
        </w:rPr>
        <w:t xml:space="preserve">quarterly deep-dive</w:t>
      </w:r>
      <w:r>
        <w:t xml:space="preserve"> — the companion to your monthly update. Submit once every 3 months (April, July, October, January) for the quarter just concluded.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It captures the </w:t>
      </w:r>
      <w:r>
        <w:rPr>
          <w:b/>
          <w:bCs/>
        </w:rPr>
        <w:t xml:space="preserve">slower-moving, structured, and compliance-relevant content</w:t>
      </w:r>
      <w:r>
        <w:t xml:space="preserve"> — IP register, formal collaborations, publications, product portfolio, cap table, and multi-quarter financials — that doesn't need to move monthly but does need to be current.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Feeds into ARTPARK's reporting to </w:t>
      </w:r>
      <w:r>
        <w:rPr>
          <w:b/>
          <w:bCs/>
        </w:rPr>
        <w:t xml:space="preserve">DST / NM-ICPS, Governing Council, and statutory bodies</w:t>
      </w:r>
      <w:r>
        <w:t xml:space="preserve">. Please be thorough — accuracy matters more than brevity here.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Style is narrative bullets where each covers one entity (one IP asset, one collaboration, one product) and folds the required fields into a paragraph. Grids are used only where the content is genuinely tabular (numeric time series, headcount).</w:t>
      </w:r>
    </w:p>
    <w:p>
      <w:pPr>
        <w:pStyle w:val="Heading1"/>
        <w:spacing w:after="160" w:before="340"/>
      </w:pPr>
      <w:r>
        <w:rPr>
          <w:b/>
          <w:bCs/>
          <w:color w:val="0F2A44"/>
          <w:sz w:val="28"/>
          <w:szCs w:val="28"/>
        </w:rPr>
        <w:t xml:space="preserve">1. Quarter at a Glance</w:t>
      </w:r>
    </w:p>
    <w:p>
      <w:pPr>
        <w:spacing w:after="120"/>
      </w:pPr>
      <w:r>
        <w:rPr>
          <w:i/>
          <w:iCs/>
        </w:rPr>
        <w:t xml:space="preserve">5 bullets. A strategic summary of the quarter — not a repeat of monthly headlines but the bigger movements that mattered.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Strategic theme of the quarter: </w:t>
      </w:r>
      <w:r>
        <w:rPr>
          <w:i/>
          <w:iCs/>
          <w:color w:val="9CA3AF"/>
        </w:rPr>
        <w:t xml:space="preserve">e.g. Transitioned from prototype validation to first commercial deployments; regulatory foundation established.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Biggest milestone achieved: </w:t>
      </w:r>
      <w:r>
        <w:rPr>
          <w:i/>
          <w:iCs/>
          <w:color w:val="9CA3AF"/>
        </w:rPr>
        <w:t xml:space="preserve">e.g. Received CDSCO manufacturing licence; first paid deployment at AIIMS Delhi.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Biggest miss or setback: </w:t>
      </w:r>
      <w:r>
        <w:rPr>
          <w:i/>
          <w:iCs/>
          <w:color w:val="9CA3AF"/>
        </w:rPr>
        <w:t xml:space="preserve">e.g. Silicon v0.2 yield fell short (61% vs 75%); v0.3 tape-out pushed to Q3 with cost overhang of ~$6/unit.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Commercial + funding position: </w:t>
      </w:r>
      <w:r>
        <w:rPr>
          <w:i/>
          <w:iCs/>
          <w:color w:val="9CA3AF"/>
        </w:rPr>
        <w:t xml:space="preserve">e.g. ₹52L revenue this quarter (up from ₹18L); Series A term sheet in hand; runway 11 months.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What we're betting on next quarter: </w:t>
      </w:r>
      <w:r>
        <w:rPr>
          <w:i/>
          <w:iCs/>
          <w:color w:val="9CA3AF"/>
        </w:rPr>
        <w:t xml:space="preserve">e.g. Ramp to 40 units/month; close Series A; open second hospital chain; complete FDA 510(k) pre-submission.</w:t>
      </w:r>
    </w:p>
    <w:p>
      <w:pPr>
        <w:pStyle w:val="Heading1"/>
        <w:spacing w:after="160" w:before="340"/>
      </w:pPr>
      <w:r>
        <w:rPr>
          <w:b/>
          <w:bCs/>
          <w:color w:val="0F2A44"/>
          <w:sz w:val="28"/>
          <w:szCs w:val="28"/>
        </w:rPr>
        <w:t xml:space="preserve">2. IP Register (This Quarter + Cumulative)</w:t>
      </w:r>
    </w:p>
    <w:p>
      <w:pPr>
        <w:spacing w:after="120"/>
      </w:pPr>
      <w:r>
        <w:rPr>
          <w:i/>
          <w:iCs/>
        </w:rPr>
        <w:t xml:space="preserve">Log every IP asset — patents, designs, trademarks, copyrights. One paragraph per asset folding in: category, title, tech area, filing year, grant year, patent ID, national/international, country, rejection status, ownership, and product it commercialises. Section 5 lists the product portfolio for cross-reference.</w:t>
      </w:r>
    </w:p>
    <w:p>
      <w:pPr>
        <w:pStyle w:val="Heading2"/>
        <w:spacing w:after="100" w:before="220"/>
      </w:pPr>
      <w:r>
        <w:rPr>
          <w:b/>
          <w:bCs/>
          <w:color w:val="2C4A6B"/>
          <w:sz w:val="22"/>
          <w:szCs w:val="22"/>
        </w:rPr>
        <w:t xml:space="preserve">2.1 Filed this quarter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9CA3AF"/>
        </w:rPr>
        <w:t xml:space="preserve">e.g. Patent — "Novel Doppler algorithm for portable ultrasound" (Healthcare, National, IN2026XXXXXX, filed Feb-2026). Joint IP with ARTPARK; commercialises via NeuroScan-v2 (§5). Or "none this quarter".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9CA3AF"/>
        </w:rPr>
        <w:t xml:space="preserve">e.g. Design registration — "Portable ultrasound probe form factor" (National, DE2026-0089, filed Mar-2026). Startup-owned.</w:t>
      </w:r>
    </w:p>
    <w:p>
      <w:pPr>
        <w:pStyle w:val="Heading2"/>
        <w:spacing w:after="100" w:before="220"/>
      </w:pPr>
      <w:r>
        <w:rPr>
          <w:b/>
          <w:bCs/>
          <w:color w:val="2C4A6B"/>
          <w:sz w:val="22"/>
          <w:szCs w:val="22"/>
        </w:rPr>
        <w:t xml:space="preserve">2.2 Granted this quarter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9CA3AF"/>
        </w:rPr>
        <w:t xml:space="preserve">e.g. Patent IN2024ABCDEF (filed 2024) — "Motion compensation for handheld imaging" — granted 15-Feb-26. Startup-owned; commercialises via NeuroScan-v2.</w:t>
      </w:r>
    </w:p>
    <w:p>
      <w:pPr>
        <w:pStyle w:val="Heading2"/>
        <w:spacing w:after="100" w:before="220"/>
      </w:pPr>
      <w:r>
        <w:rPr>
          <w:b/>
          <w:bCs/>
          <w:color w:val="2C4A6B"/>
          <w:sz w:val="22"/>
          <w:szCs w:val="22"/>
        </w:rPr>
        <w:t xml:space="preserve">2.3 Rejected / abandoned this quarter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9CA3AF"/>
        </w:rPr>
        <w:t xml:space="preserve">e.g. Patent IN2023YYYYYY (drone payload latch) rejected on prior-art grounds; not refiling. Or "none".</w:t>
      </w:r>
    </w:p>
    <w:p>
      <w:pPr>
        <w:pStyle w:val="Heading2"/>
        <w:spacing w:after="100" w:before="220"/>
      </w:pPr>
      <w:r>
        <w:rPr>
          <w:b/>
          <w:bCs/>
          <w:color w:val="2C4A6B"/>
          <w:sz w:val="22"/>
          <w:szCs w:val="22"/>
        </w:rPr>
        <w:t xml:space="preserve">2.4 International filings in flight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9CA3AF"/>
        </w:rPr>
        <w:t xml:space="preserve">e.g. PCT filed for Doppler algorithm (Feb-2026); planned national-phase entries: US, EU, Japan. Fees: ~₹18L total.</w:t>
      </w:r>
    </w:p>
    <w:p>
      <w:pPr>
        <w:pStyle w:val="Heading2"/>
        <w:spacing w:after="100" w:before="220"/>
      </w:pPr>
      <w:r>
        <w:rPr>
          <w:b/>
          <w:bCs/>
          <w:color w:val="2C4A6B"/>
          <w:sz w:val="22"/>
          <w:szCs w:val="22"/>
        </w:rPr>
        <w:t xml:space="preserve">2.5 Cumulative IP portfolio (headline)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9CA3AF"/>
        </w:rPr>
        <w:t xml:space="preserve">e.g. 6 patents filed (2 granted, 4 pending); 2 design registrations (both granted); 1 trademark; 4 assets are joint IP with ARTPARK, 5 are startup-owned. Full register available on request.</w:t>
      </w:r>
    </w:p>
    <w:p>
      <w:pPr>
        <w:pStyle w:val="Heading1"/>
        <w:spacing w:after="160" w:before="340"/>
      </w:pPr>
      <w:r>
        <w:rPr>
          <w:b/>
          <w:bCs/>
          <w:color w:val="0F2A44"/>
          <w:sz w:val="28"/>
          <w:szCs w:val="28"/>
        </w:rPr>
        <w:t xml:space="preserve">3. Collaborations &amp; Programmes</w:t>
      </w:r>
    </w:p>
    <w:p>
      <w:pPr>
        <w:spacing w:after="120"/>
      </w:pPr>
      <w:r>
        <w:rPr>
          <w:i/>
          <w:iCs/>
        </w:rPr>
        <w:t xml:space="preserve">Formal partnerships (MoU / project / joint programme) with institutes, corporates, ministries, or philanthropies. One short paragraph per active collaboration folding in: collaborator, country, programme title, technology &amp; application area, our role, their role, funding (₹L), project value, MoU / start / end dates, status, and outcomes so far.</w:t>
      </w:r>
    </w:p>
    <w:p>
      <w:pPr>
        <w:pStyle w:val="Heading2"/>
        <w:spacing w:after="100" w:before="220"/>
      </w:pPr>
      <w:r>
        <w:rPr>
          <w:b/>
          <w:bCs/>
          <w:color w:val="2C4A6B"/>
          <w:sz w:val="22"/>
          <w:szCs w:val="22"/>
        </w:rPr>
        <w:t xml:space="preserve">3.1 Active collaborations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9CA3AF"/>
        </w:rPr>
        <w:t xml:space="preserve">e.g. BMGF &amp; NCBS (US / India) — "Population-Scale AI for Health Systems Resilience"; tech area: Climate &amp; Health; application: Public Health surveillance. Our role: tech platform (Dharini Epidemic Intelligence) integrating field data, lab diagnostics and genomics; their role: field sample collection and clinical validation. Funding ₹45L from BMGF; project value ₹60L. MoU signed 01-Apr-25; live May-25 to Mar-27. Status: Ongoing. Outcomes this quarter: 4 state PHC deployments live; 620 samples processed; draft paper submitted to Nature Digital Medicine.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9CA3AF"/>
        </w:rPr>
        <w:t xml:space="preserve">e.g. AIIMS Delhi — Clinical validation study for portable ultrasound. Tech area: Medical Imaging; application: Emergency Medicine. Our role: device + training; their role: clinical study design + IRB + patient recruitment. Funding ₹28L (in-kind + cash). MoU 15-Feb-26; study period Mar-26 to Feb-28. Status: Ongoing. Outcomes: study protocol approved; first 12 patients enrolled.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9CA3AF"/>
        </w:rPr>
        <w:t xml:space="preserve">Add one bullet per active collaboration.</w:t>
      </w:r>
    </w:p>
    <w:p>
      <w:pPr>
        <w:pStyle w:val="Heading2"/>
        <w:spacing w:after="100" w:before="220"/>
      </w:pPr>
      <w:r>
        <w:rPr>
          <w:b/>
          <w:bCs/>
          <w:color w:val="2C4A6B"/>
          <w:sz w:val="22"/>
          <w:szCs w:val="22"/>
        </w:rPr>
        <w:t xml:space="preserve">3.2 New collaborations signed this quarter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9CA3AF"/>
        </w:rPr>
        <w:t xml:space="preserve">e.g. MoU signed with Fortis Healthcare (India) on 22-Feb-26 for a multi-site clinical deployment programme across 6 hospitals; commercial pilot for 6 months → 3-year commercial contract on success. Project value ₹1.2 Cr. Or "none this quarter".</w:t>
      </w:r>
    </w:p>
    <w:p>
      <w:pPr>
        <w:pStyle w:val="Heading2"/>
        <w:spacing w:after="100" w:before="220"/>
      </w:pPr>
      <w:r>
        <w:rPr>
          <w:b/>
          <w:bCs/>
          <w:color w:val="2C4A6B"/>
          <w:sz w:val="22"/>
          <w:szCs w:val="22"/>
        </w:rPr>
        <w:t xml:space="preserve">3.3 Completed / concluded this quarter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9CA3AF"/>
        </w:rPr>
        <w:t xml:space="preserve">e.g. Wrapped Phase-1 of BIRAC-BIG programme (₹50L) with IISc-CSE lab; final report submitted 05-Mar-26; Phase-2 application filed. Or "none".</w:t>
      </w:r>
    </w:p>
    <w:p>
      <w:pPr>
        <w:pStyle w:val="Heading2"/>
        <w:spacing w:after="100" w:before="220"/>
      </w:pPr>
      <w:r>
        <w:rPr>
          <w:b/>
          <w:bCs/>
          <w:color w:val="2C4A6B"/>
          <w:sz w:val="22"/>
          <w:szCs w:val="22"/>
        </w:rPr>
        <w:t xml:space="preserve">3.4 In advanced discussion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9CA3AF"/>
        </w:rPr>
        <w:t xml:space="preserve">e.g. C-DAC — chip-design collaboration on 12nm test-chip (₹80L, MeitY DLI). Term-sheet stage. THSTI — diagnostic device validation on tropical disease panel. Scoping stage.</w:t>
      </w:r>
    </w:p>
    <w:p>
      <w:pPr>
        <w:pStyle w:val="Heading1"/>
        <w:spacing w:after="160" w:before="340"/>
      </w:pPr>
      <w:r>
        <w:rPr>
          <w:b/>
          <w:bCs/>
          <w:color w:val="0F2A44"/>
          <w:sz w:val="28"/>
          <w:szCs w:val="28"/>
        </w:rPr>
        <w:t xml:space="preserve">4. Publications &amp; Intellectual Activities</w:t>
      </w:r>
    </w:p>
    <w:p>
      <w:pPr>
        <w:spacing w:after="120"/>
      </w:pPr>
      <w:r>
        <w:rPr>
          <w:i/>
          <w:iCs/>
        </w:rPr>
        <w:t xml:space="preserve">Peer-reviewed papers, conference presentations, book chapters, open datasets, standards contributions. One bullet per output.</w:t>
      </w:r>
    </w:p>
    <w:p>
      <w:pPr>
        <w:pStyle w:val="Heading2"/>
        <w:spacing w:after="100" w:before="220"/>
      </w:pPr>
      <w:r>
        <w:rPr>
          <w:b/>
          <w:bCs/>
          <w:color w:val="2C4A6B"/>
          <w:sz w:val="22"/>
          <w:szCs w:val="22"/>
        </w:rPr>
        <w:t xml:space="preserve">4.1 Published / presented this quarter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9CA3AF"/>
        </w:rPr>
        <w:t xml:space="preserve">e.g. Journal paper — "Real-time detection of ischemic stroke using edge-AI ultrasound" — R. Iyer, P. Ramesh et al., Nature Digital Medicine, Feb-2026. Peer-reviewed. International. DOI: 10.XXXX/XXXX.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9CA3AF"/>
        </w:rPr>
        <w:t xml:space="preserve">e.g. Conference paper — "Sparse-activation compiler for edge inference" — S. Menon et al., MLSys 2026, Feb-2026. Peer-reviewed. International.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9CA3AF"/>
        </w:rPr>
        <w:t xml:space="preserve">e.g. Open dataset — "IndiaStroke-1: 1,200 anonymised point-of-care ultrasound scans with radiologist annotations" — released under CC-BY-NC on Feb-2026. Link: &lt;url&gt;.</w:t>
      </w:r>
    </w:p>
    <w:p>
      <w:pPr>
        <w:pStyle w:val="Heading2"/>
        <w:spacing w:after="100" w:before="220"/>
      </w:pPr>
      <w:r>
        <w:rPr>
          <w:b/>
          <w:bCs/>
          <w:color w:val="2C4A6B"/>
          <w:sz w:val="22"/>
          <w:szCs w:val="22"/>
        </w:rPr>
        <w:t xml:space="preserve">4.2 In review or draft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9CA3AF"/>
        </w:rPr>
        <w:t xml:space="preserve">e.g. Journal submission — clinical outcomes paper on AIIMS Delhi cohort — under review at The Lancet Digital Health.</w:t>
      </w:r>
    </w:p>
    <w:p>
      <w:pPr>
        <w:pStyle w:val="Heading2"/>
        <w:spacing w:after="100" w:before="220"/>
      </w:pPr>
      <w:r>
        <w:rPr>
          <w:b/>
          <w:bCs/>
          <w:color w:val="2C4A6B"/>
          <w:sz w:val="22"/>
          <w:szCs w:val="22"/>
        </w:rPr>
        <w:t xml:space="preserve">4.3 Standards contributions / policy engagement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9CA3AF"/>
        </w:rPr>
        <w:t xml:space="preserve">e.g. Member of BIS Committee for Medical Device Software Standards; participated in 2 meetings this quarter. Or "none".</w:t>
      </w:r>
    </w:p>
    <w:p>
      <w:pPr>
        <w:pStyle w:val="Heading1"/>
        <w:spacing w:after="160" w:before="340"/>
      </w:pPr>
      <w:r>
        <w:rPr>
          <w:b/>
          <w:bCs/>
          <w:color w:val="0F2A44"/>
          <w:sz w:val="28"/>
          <w:szCs w:val="28"/>
        </w:rPr>
        <w:t xml:space="preserve">5. Products / Technologies Developed</w:t>
      </w:r>
    </w:p>
    <w:p>
      <w:pPr>
        <w:spacing w:after="120"/>
      </w:pPr>
      <w:r>
        <w:rPr>
          <w:i/>
          <w:iCs/>
        </w:rPr>
        <w:t xml:space="preserve">One paragraph per product / technology folding in: title, type (Product / Platform / Service / Toolkit), technology area, project value invested (₹L), TRL, development status, commercialisation status, date of commercialisation, revenue generated (₹L), industry / licensee, commercialisation mode, deployment status, and deployment sites. This is a portfolio view; update quarterly.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9CA3AF"/>
        </w:rPr>
        <w:t xml:space="preserve">e.g. NeuroScan-v2 (Product) — AI-enabled portable ultrasound for stroke detection. Tech area: Medical Imaging / AI. Project value ₹380L invested to date. TRL 7. Development status: Completed. Commercialised: Yes, since Nov-2025. Revenue to date: ₹86L. Industry: Fortis, Manipal, AIIMS Delhi. Mode: Product sale + annual service contract. Deployed: Yes, 4 hospital sites (Delhi, Bangalore, Mumbai, Chennai). Next: FDA 510(k) filing target Q3.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9CA3AF"/>
        </w:rPr>
        <w:t xml:space="preserve">e.g. Dharini Epidemic Intelligence Platform (Platform) — Environmental disease surveillance. Tech area: Public Health AI. Project value ₹95L. TRL 8. Status: Deployed. Commercialised: No (grant-funded). Deployed at 4 state PHC networks under BMGF-NCBS programme (§3.1).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9CA3AF"/>
        </w:rPr>
        <w:t xml:space="preserve">Add one bullet per product / technology in your portfolio.</w:t>
      </w:r>
    </w:p>
    <w:p>
      <w:pPr>
        <w:pStyle w:val="Heading1"/>
        <w:spacing w:after="160" w:before="340"/>
      </w:pPr>
      <w:r>
        <w:rPr>
          <w:b/>
          <w:bCs/>
          <w:color w:val="0F2A44"/>
          <w:sz w:val="28"/>
          <w:szCs w:val="28"/>
        </w:rPr>
        <w:t xml:space="preserve">6. Financials — Deep Dive</w:t>
      </w:r>
    </w:p>
    <w:p>
      <w:pPr>
        <w:pStyle w:val="Heading2"/>
        <w:spacing w:after="100" w:before="220"/>
      </w:pPr>
      <w:r>
        <w:rPr>
          <w:b/>
          <w:bCs/>
          <w:color w:val="2C4A6B"/>
          <w:sz w:val="22"/>
          <w:szCs w:val="22"/>
        </w:rPr>
        <w:t xml:space="preserve">6.1 Annual revenue (₹)</w:t>
      </w:r>
    </w:p>
    <w:p>
      <w:pPr>
        <w:spacing w:after="120"/>
      </w:pPr>
      <w:r>
        <w:rPr>
          <w:i/>
          <w:iCs/>
        </w:rPr>
        <w:t xml:space="preserve">Split between orders / paid pilots on books versus payment actually received. Populate all past FYs and current-year projection.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1200"/>
        <w:gridCol w:w="1200"/>
        <w:gridCol w:w="1200"/>
        <w:gridCol w:w="1400"/>
        <w:gridCol w:w="1400"/>
      </w:tblGrid>
      <w:tr>
        <w:trPr>
          <w:tblHeader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E8EEF5" w:color="auto" w:val="clear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</w:rPr>
              <w:t xml:space="preserve"/>
            </w:r>
          </w:p>
        </w:tc>
        <w:tc>
          <w:tcPr>
            <w:tcW w:type="dxa" w:w="12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E8EEF5" w:color="auto" w:val="clear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</w:rPr>
              <w:t xml:space="preserve">FY 21-22</w:t>
            </w:r>
          </w:p>
        </w:tc>
        <w:tc>
          <w:tcPr>
            <w:tcW w:type="dxa" w:w="12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E8EEF5" w:color="auto" w:val="clear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</w:rPr>
              <w:t xml:space="preserve">FY 22-23</w:t>
            </w:r>
          </w:p>
        </w:tc>
        <w:tc>
          <w:tcPr>
            <w:tcW w:type="dxa" w:w="12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E8EEF5" w:color="auto" w:val="clear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</w:rPr>
              <w:t xml:space="preserve">FY 23-24</w:t>
            </w:r>
          </w:p>
        </w:tc>
        <w:tc>
          <w:tcPr>
            <w:tcW w:type="dxa" w:w="12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E8EEF5" w:color="auto" w:val="clear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</w:rPr>
              <w:t xml:space="preserve">FY 24-25</w:t>
            </w:r>
          </w:p>
        </w:tc>
        <w:tc>
          <w:tcPr>
            <w:tcW w:type="dxa" w:w="1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E8EEF5" w:color="auto" w:val="clear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</w:rPr>
              <w:t xml:space="preserve">FY 25-26 (YTD)</w:t>
            </w:r>
          </w:p>
        </w:tc>
        <w:tc>
          <w:tcPr>
            <w:tcW w:type="dxa" w:w="1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E8EEF5" w:color="auto" w:val="clear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</w:rPr>
              <w:t xml:space="preserve">FY 25-26 (Proj.)</w:t>
            </w:r>
          </w:p>
        </w:tc>
      </w:tr>
      <w:t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E8EEF5" w:color="auto" w:val="clear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</w:rPr>
              <w:t xml:space="preserve">Revenue: orders / paid pilots on books (₹)</w:t>
            </w:r>
          </w:p>
        </w:tc>
        <w:tc>
          <w:tcPr>
            <w:tcW w:type="dxa" w:w="12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/>
                <w:iCs/>
                <w:color w:val="9CA3AF"/>
              </w:rPr>
              <w:t xml:space="preserve">[  ]</w:t>
            </w:r>
          </w:p>
        </w:tc>
        <w:tc>
          <w:tcPr>
            <w:tcW w:type="dxa" w:w="12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/>
                <w:iCs/>
                <w:color w:val="9CA3AF"/>
              </w:rPr>
              <w:t xml:space="preserve">[  ]</w:t>
            </w:r>
          </w:p>
        </w:tc>
        <w:tc>
          <w:tcPr>
            <w:tcW w:type="dxa" w:w="12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/>
                <w:iCs/>
                <w:color w:val="9CA3AF"/>
              </w:rPr>
              <w:t xml:space="preserve">[  ]</w:t>
            </w:r>
          </w:p>
        </w:tc>
        <w:tc>
          <w:tcPr>
            <w:tcW w:type="dxa" w:w="12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/>
                <w:iCs/>
                <w:color w:val="9CA3AF"/>
              </w:rPr>
              <w:t xml:space="preserve">[  ]</w:t>
            </w:r>
          </w:p>
        </w:tc>
        <w:tc>
          <w:tcPr>
            <w:tcW w:type="dxa" w:w="1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/>
                <w:iCs/>
                <w:color w:val="9CA3AF"/>
              </w:rPr>
              <w:t xml:space="preserve">[  ]</w:t>
            </w:r>
          </w:p>
        </w:tc>
        <w:tc>
          <w:tcPr>
            <w:tcW w:type="dxa" w:w="1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/>
                <w:iCs/>
                <w:color w:val="9CA3AF"/>
              </w:rPr>
              <w:t xml:space="preserve">[  ]</w:t>
            </w:r>
          </w:p>
        </w:tc>
      </w:tr>
      <w:t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E8EEF5" w:color="auto" w:val="clear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</w:rPr>
              <w:t xml:space="preserve">Revenue: payment received (₹)</w:t>
            </w:r>
          </w:p>
        </w:tc>
        <w:tc>
          <w:tcPr>
            <w:tcW w:type="dxa" w:w="12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/>
                <w:iCs/>
                <w:color w:val="9CA3AF"/>
              </w:rPr>
              <w:t xml:space="preserve">[  ]</w:t>
            </w:r>
          </w:p>
        </w:tc>
        <w:tc>
          <w:tcPr>
            <w:tcW w:type="dxa" w:w="12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/>
                <w:iCs/>
                <w:color w:val="9CA3AF"/>
              </w:rPr>
              <w:t xml:space="preserve">[  ]</w:t>
            </w:r>
          </w:p>
        </w:tc>
        <w:tc>
          <w:tcPr>
            <w:tcW w:type="dxa" w:w="12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/>
                <w:iCs/>
                <w:color w:val="9CA3AF"/>
              </w:rPr>
              <w:t xml:space="preserve">[  ]</w:t>
            </w:r>
          </w:p>
        </w:tc>
        <w:tc>
          <w:tcPr>
            <w:tcW w:type="dxa" w:w="12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/>
                <w:iCs/>
                <w:color w:val="9CA3AF"/>
              </w:rPr>
              <w:t xml:space="preserve">[  ]</w:t>
            </w:r>
          </w:p>
        </w:tc>
        <w:tc>
          <w:tcPr>
            <w:tcW w:type="dxa" w:w="1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/>
                <w:iCs/>
                <w:color w:val="9CA3AF"/>
              </w:rPr>
              <w:t xml:space="preserve">[  ]</w:t>
            </w:r>
          </w:p>
        </w:tc>
        <w:tc>
          <w:tcPr>
            <w:tcW w:type="dxa" w:w="1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/>
                <w:iCs/>
                <w:color w:val="9CA3AF"/>
              </w:rPr>
              <w:t xml:space="preserve">[  ]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Revenue commentary: </w:t>
      </w:r>
      <w:r>
        <w:rPr>
          <w:i/>
          <w:iCs/>
          <w:color w:val="9CA3AF"/>
        </w:rPr>
        <w:t xml:space="preserve">e.g. FY25-26 YTD ahead of plan on the back of Fortis and Manipal contracts; ₹1.4 Cr TCV signed but only ₹42L collected — payment cycles at hospital chains are 90-120 days.</w:t>
      </w:r>
    </w:p>
    <w:p>
      <w:pPr>
        <w:pStyle w:val="Heading2"/>
        <w:spacing w:after="100" w:before="220"/>
      </w:pPr>
      <w:r>
        <w:rPr>
          <w:b/>
          <w:bCs/>
          <w:color w:val="2C4A6B"/>
          <w:sz w:val="22"/>
          <w:szCs w:val="22"/>
        </w:rPr>
        <w:t xml:space="preserve">6.2 Financial needs over next 5 quarters (₹ Lakh)</w:t>
      </w:r>
    </w:p>
    <w:p>
      <w:pPr>
        <w:spacing w:after="120"/>
      </w:pPr>
      <w:r>
        <w:rPr>
          <w:i/>
          <w:iCs/>
        </w:rPr>
        <w:t xml:space="preserve">The Gap row (red) is what ARTPARK most needs to see — it drives how we plan support around you (grant introductions, bridge conversations, etc.).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1400"/>
        <w:gridCol w:w="1400"/>
        <w:gridCol w:w="1400"/>
        <w:gridCol w:w="1400"/>
      </w:tblGrid>
      <w:tr>
        <w:trPr>
          <w:tblHeader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E8EEF5" w:color="auto" w:val="clear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</w:rPr>
              <w:t xml:space="preserve"/>
            </w:r>
          </w:p>
        </w:tc>
        <w:tc>
          <w:tcPr>
            <w:tcW w:type="dxa" w:w="1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E8EEF5" w:color="auto" w:val="clear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</w:rPr>
              <w:t xml:space="preserve">Q1 (Current)</w:t>
            </w:r>
          </w:p>
        </w:tc>
        <w:tc>
          <w:tcPr>
            <w:tcW w:type="dxa" w:w="1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E8EEF5" w:color="auto" w:val="clear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</w:rPr>
              <w:t xml:space="preserve">Q2 (Next)</w:t>
            </w:r>
          </w:p>
        </w:tc>
        <w:tc>
          <w:tcPr>
            <w:tcW w:type="dxa" w:w="1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E8EEF5" w:color="auto" w:val="clear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</w:rPr>
              <w:t xml:space="preserve">Q3</w:t>
            </w:r>
          </w:p>
        </w:tc>
        <w:tc>
          <w:tcPr>
            <w:tcW w:type="dxa" w:w="1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E8EEF5" w:color="auto" w:val="clear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</w:rPr>
              <w:t xml:space="preserve">Q4</w:t>
            </w:r>
          </w:p>
        </w:tc>
        <w:tc>
          <w:tcPr>
            <w:tcW w:type="dxa" w:w="1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E8EEF5" w:color="auto" w:val="clear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</w:rPr>
              <w:t xml:space="preserve">Q5</w:t>
            </w:r>
          </w:p>
        </w:tc>
      </w:tr>
      <w:t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E8EEF5" w:color="auto" w:val="clear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</w:rPr>
              <w:t xml:space="preserve">Total needs</w:t>
            </w:r>
          </w:p>
        </w:tc>
        <w:tc>
          <w:tcPr>
            <w:tcW w:type="dxa" w:w="1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/>
                <w:iCs/>
                <w:color w:val="9CA3AF"/>
              </w:rPr>
              <w:t xml:space="preserve">[  ]</w:t>
            </w:r>
          </w:p>
        </w:tc>
        <w:tc>
          <w:tcPr>
            <w:tcW w:type="dxa" w:w="1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/>
                <w:iCs/>
                <w:color w:val="9CA3AF"/>
              </w:rPr>
              <w:t xml:space="preserve">[  ]</w:t>
            </w:r>
          </w:p>
        </w:tc>
        <w:tc>
          <w:tcPr>
            <w:tcW w:type="dxa" w:w="1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/>
                <w:iCs/>
                <w:color w:val="9CA3AF"/>
              </w:rPr>
              <w:t xml:space="preserve">[  ]</w:t>
            </w:r>
          </w:p>
        </w:tc>
        <w:tc>
          <w:tcPr>
            <w:tcW w:type="dxa" w:w="1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/>
                <w:iCs/>
                <w:color w:val="9CA3AF"/>
              </w:rPr>
              <w:t xml:space="preserve">[  ]</w:t>
            </w:r>
          </w:p>
        </w:tc>
        <w:tc>
          <w:tcPr>
            <w:tcW w:type="dxa" w:w="1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/>
                <w:iCs/>
                <w:color w:val="9CA3AF"/>
              </w:rPr>
              <w:t xml:space="preserve">[  ]</w:t>
            </w:r>
          </w:p>
        </w:tc>
      </w:tr>
      <w:t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E8EEF5" w:color="auto" w:val="clear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</w:rPr>
              <w:t xml:space="preserve">Confirmed funding</w:t>
            </w:r>
          </w:p>
        </w:tc>
        <w:tc>
          <w:tcPr>
            <w:tcW w:type="dxa" w:w="1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/>
                <w:iCs/>
                <w:color w:val="9CA3AF"/>
              </w:rPr>
              <w:t xml:space="preserve">[  ]</w:t>
            </w:r>
          </w:p>
        </w:tc>
        <w:tc>
          <w:tcPr>
            <w:tcW w:type="dxa" w:w="1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/>
                <w:iCs/>
                <w:color w:val="9CA3AF"/>
              </w:rPr>
              <w:t xml:space="preserve">[  ]</w:t>
            </w:r>
          </w:p>
        </w:tc>
        <w:tc>
          <w:tcPr>
            <w:tcW w:type="dxa" w:w="1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/>
                <w:iCs/>
                <w:color w:val="9CA3AF"/>
              </w:rPr>
              <w:t xml:space="preserve">[  ]</w:t>
            </w:r>
          </w:p>
        </w:tc>
        <w:tc>
          <w:tcPr>
            <w:tcW w:type="dxa" w:w="1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/>
                <w:iCs/>
                <w:color w:val="9CA3AF"/>
              </w:rPr>
              <w:t xml:space="preserve">[  ]</w:t>
            </w:r>
          </w:p>
        </w:tc>
        <w:tc>
          <w:tcPr>
            <w:tcW w:type="dxa" w:w="1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/>
                <w:iCs/>
                <w:color w:val="9CA3AF"/>
              </w:rPr>
              <w:t xml:space="preserve">[  ]</w:t>
            </w:r>
          </w:p>
        </w:tc>
      </w:tr>
      <w:t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E8EEF5" w:color="auto" w:val="clear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</w:rPr>
              <w:t xml:space="preserve">Projected (likely, not confirmed)</w:t>
            </w:r>
          </w:p>
        </w:tc>
        <w:tc>
          <w:tcPr>
            <w:tcW w:type="dxa" w:w="1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/>
                <w:iCs/>
                <w:color w:val="9CA3AF"/>
              </w:rPr>
              <w:t xml:space="preserve">[  ]</w:t>
            </w:r>
          </w:p>
        </w:tc>
        <w:tc>
          <w:tcPr>
            <w:tcW w:type="dxa" w:w="1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/>
                <w:iCs/>
                <w:color w:val="9CA3AF"/>
              </w:rPr>
              <w:t xml:space="preserve">[  ]</w:t>
            </w:r>
          </w:p>
        </w:tc>
        <w:tc>
          <w:tcPr>
            <w:tcW w:type="dxa" w:w="1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/>
                <w:iCs/>
                <w:color w:val="9CA3AF"/>
              </w:rPr>
              <w:t xml:space="preserve">[  ]</w:t>
            </w:r>
          </w:p>
        </w:tc>
        <w:tc>
          <w:tcPr>
            <w:tcW w:type="dxa" w:w="1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/>
                <w:iCs/>
                <w:color w:val="9CA3AF"/>
              </w:rPr>
              <w:t xml:space="preserve">[  ]</w:t>
            </w:r>
          </w:p>
        </w:tc>
        <w:tc>
          <w:tcPr>
            <w:tcW w:type="dxa" w:w="1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/>
                <w:iCs/>
                <w:color w:val="9CA3AF"/>
              </w:rPr>
              <w:t xml:space="preserve">[  ]</w:t>
            </w:r>
          </w:p>
        </w:tc>
      </w:tr>
      <w:t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E8EEF5" w:color="auto" w:val="clear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</w:rPr>
              <w:t xml:space="preserve">Gap</w:t>
            </w:r>
          </w:p>
        </w:tc>
        <w:tc>
          <w:tcPr>
            <w:tcW w:type="dxa" w:w="1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EBEE" w:color="auto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i/>
                <w:iCs/>
                <w:color w:val="9CA3AF"/>
              </w:rPr>
              <w:t xml:space="preserve">[  ]</w:t>
            </w:r>
          </w:p>
        </w:tc>
        <w:tc>
          <w:tcPr>
            <w:tcW w:type="dxa" w:w="1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EBEE" w:color="auto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i/>
                <w:iCs/>
                <w:color w:val="9CA3AF"/>
              </w:rPr>
              <w:t xml:space="preserve">[  ]</w:t>
            </w:r>
          </w:p>
        </w:tc>
        <w:tc>
          <w:tcPr>
            <w:tcW w:type="dxa" w:w="1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EBEE" w:color="auto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i/>
                <w:iCs/>
                <w:color w:val="9CA3AF"/>
              </w:rPr>
              <w:t xml:space="preserve">[  ]</w:t>
            </w:r>
          </w:p>
        </w:tc>
        <w:tc>
          <w:tcPr>
            <w:tcW w:type="dxa" w:w="1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EBEE" w:color="auto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i/>
                <w:iCs/>
                <w:color w:val="9CA3AF"/>
              </w:rPr>
              <w:t xml:space="preserve">[  ]</w:t>
            </w:r>
          </w:p>
        </w:tc>
        <w:tc>
          <w:tcPr>
            <w:tcW w:type="dxa" w:w="1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EBEE" w:color="auto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i/>
                <w:iCs/>
                <w:color w:val="9CA3AF"/>
              </w:rPr>
              <w:t xml:space="preserve">[  ]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Gap-closing plan: </w:t>
      </w:r>
      <w:r>
        <w:rPr>
          <w:i/>
          <w:iCs/>
          <w:color w:val="9CA3AF"/>
        </w:rPr>
        <w:t xml:space="preserve">e.g. Series A closing Q3 covers Q3-Q5 gap; if slip, BIRAC BIG Phase-2 (₹75L) + accelerated Fortis PO (₹40L) cover Q3.</w:t>
      </w:r>
    </w:p>
    <w:p>
      <w:pPr>
        <w:pStyle w:val="Heading2"/>
        <w:spacing w:after="100" w:before="220"/>
      </w:pPr>
      <w:r>
        <w:rPr>
          <w:b/>
          <w:bCs/>
          <w:color w:val="2C4A6B"/>
          <w:sz w:val="22"/>
          <w:szCs w:val="22"/>
        </w:rPr>
        <w:t xml:space="preserve">6.3 Cash &amp; burn snapshot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Cash in bank: </w:t>
      </w:r>
      <w:r>
        <w:rPr>
          <w:i/>
          <w:iCs/>
          <w:color w:val="9CA3AF"/>
        </w:rPr>
        <w:t xml:space="preserve">e.g. ₹18.3 Cr at quarter-end.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Quarterly burn: </w:t>
      </w:r>
      <w:r>
        <w:rPr>
          <w:i/>
          <w:iCs/>
          <w:color w:val="9CA3AF"/>
        </w:rPr>
        <w:t xml:space="preserve">e.g. ₹2.8 Cr net this quarter; YTD burn ₹11.2 Cr against ₹12 Cr plan.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Runway: </w:t>
      </w:r>
      <w:r>
        <w:rPr>
          <w:i/>
          <w:iCs/>
          <w:color w:val="9CA3AF"/>
        </w:rPr>
        <w:t xml:space="preserve">e.g. 11 months at current burn (9 months at planned Q3 burn).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Gross margin trajectory: </w:t>
      </w:r>
      <w:r>
        <w:rPr>
          <w:i/>
          <w:iCs/>
          <w:color w:val="9CA3AF"/>
        </w:rPr>
        <w:t xml:space="preserve">e.g. Q1 41% → Q2 44% → Q3 target 50%.</w:t>
      </w:r>
    </w:p>
    <w:p>
      <w:pPr>
        <w:pStyle w:val="Heading1"/>
        <w:spacing w:after="160" w:before="340"/>
      </w:pPr>
      <w:r>
        <w:rPr>
          <w:b/>
          <w:bCs/>
          <w:color w:val="0F2A44"/>
          <w:sz w:val="28"/>
          <w:szCs w:val="28"/>
        </w:rPr>
        <w:t xml:space="preserve">7. External Funding — All-Time History</w:t>
      </w:r>
    </w:p>
    <w:p>
      <w:pPr>
        <w:spacing w:after="120"/>
      </w:pPr>
      <w:r>
        <w:rPr>
          <w:i/>
          <w:iCs/>
        </w:rPr>
        <w:t xml:space="preserve">One bullet per external investor / grant folding in: name, status, stage (Seed / Series A / grant), date of investment, amount raised (₹L), post-money valuation (₹L), date of valuation, investment mode, equity percentage, remarks. This is a cap-table narrative — cumulative, not just this quarter.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9CA3AF"/>
        </w:rPr>
        <w:t xml:space="preserve">e.g. Speciale Invest (Closed) — Seed, 10-Jan-25, ₹300L raised, post-money ₹1,800L, priced round, 12.5% equity. Lead investor; board observer seat.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9CA3AF"/>
        </w:rPr>
        <w:t xml:space="preserve">e.g. Angel round (Closed) — Pre-seed, 05-Aug-23, ₹85L raised via SAFE (uncapped, 20% discount), converted at Seed. Angels: 8, including 2 medical-device operators.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9CA3AF"/>
        </w:rPr>
        <w:t xml:space="preserve">e.g. BIRAC BIG grant (Closed) — Non-dilutive, 22-Nov-24, ₹50L, Phase-1. Deliverables complete; Phase-2 application filed.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9CA3AF"/>
        </w:rPr>
        <w:t xml:space="preserve">e.g. DST-NIDHI PRAYAS (In Review) — Non-dilutive, Phase-2 application filed Feb-26 for ₹75L; decision expected Apr-26.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9CA3AF"/>
        </w:rPr>
        <w:t xml:space="preserve">Add one bullet per investor / grant in your cap table.</w:t>
      </w:r>
    </w:p>
    <w:p>
      <w:pPr>
        <w:pStyle w:val="Heading1"/>
        <w:spacing w:after="160" w:before="340"/>
      </w:pPr>
      <w:r>
        <w:rPr>
          <w:b/>
          <w:bCs/>
          <w:color w:val="0F2A44"/>
          <w:sz w:val="28"/>
          <w:szCs w:val="28"/>
        </w:rPr>
        <w:t xml:space="preserve">8. People — Full Snapshot</w:t>
      </w:r>
    </w:p>
    <w:p>
      <w:pPr>
        <w:spacing w:after="120"/>
      </w:pPr>
      <w:r>
        <w:rPr>
          <w:i/>
          <w:iCs/>
        </w:rPr>
        <w:t xml:space="preserve">End-of-quarter headcount. Includes ARTPARK-associated employees (working on your project but on ARTPARK payroll), startup employees, consultants, and interns.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500"/>
        <w:gridCol w:w="1500"/>
        <w:gridCol w:w="1500"/>
        <w:gridCol w:w="3200"/>
      </w:tblGrid>
      <w:tr>
        <w:trPr>
          <w:tblHeader/>
        </w:trPr>
        <w:tc>
          <w:tcPr>
            <w:tcW w:type="dxa" w:w="3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E8EEF5" w:color="auto" w:val="clear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</w:rPr>
              <w:t xml:space="preserve">Category</w:t>
            </w:r>
          </w:p>
        </w:tc>
        <w:tc>
          <w:tcPr>
            <w:tcW w:type="dxa" w:w="1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E8EEF5" w:color="auto" w:val="clear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</w:rPr>
              <w:t xml:space="preserve">Current Count</w:t>
            </w:r>
          </w:p>
        </w:tc>
        <w:tc>
          <w:tcPr>
            <w:tcW w:type="dxa" w:w="1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E8EEF5" w:color="auto" w:val="clear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</w:rPr>
              <w:t xml:space="preserve">Exited this Qtr</w:t>
            </w:r>
          </w:p>
        </w:tc>
        <w:tc>
          <w:tcPr>
            <w:tcW w:type="dxa" w:w="1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E8EEF5" w:color="auto" w:val="clear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</w:rPr>
              <w:t xml:space="preserve">Net Change</w:t>
            </w:r>
          </w:p>
        </w:tc>
        <w:tc>
          <w:tcPr>
            <w:tcW w:type="dxa" w:w="32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E8EEF5" w:color="auto" w:val="clear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</w:rPr>
              <w:t xml:space="preserve">Remarks</w:t>
            </w:r>
          </w:p>
        </w:tc>
      </w:tr>
      <w:tr>
        <w:tc>
          <w:tcPr>
            <w:tcW w:type="dxa" w:w="3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E8EEF5" w:color="auto" w:val="clear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</w:rPr>
              <w:t xml:space="preserve">Employees (ARTPARK, associated with startup)</w:t>
            </w:r>
          </w:p>
        </w:tc>
        <w:tc>
          <w:tcPr>
            <w:tcW w:type="dxa" w:w="1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/>
                <w:iCs/>
                <w:color w:val="9CA3AF"/>
              </w:rPr>
              <w:t xml:space="preserve">[  ]</w:t>
            </w:r>
          </w:p>
        </w:tc>
        <w:tc>
          <w:tcPr>
            <w:tcW w:type="dxa" w:w="1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/>
                <w:iCs/>
                <w:color w:val="9CA3AF"/>
              </w:rPr>
              <w:t xml:space="preserve">[  ]</w:t>
            </w:r>
          </w:p>
        </w:tc>
        <w:tc>
          <w:tcPr>
            <w:tcW w:type="dxa" w:w="1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/>
                <w:iCs/>
                <w:color w:val="9CA3AF"/>
              </w:rPr>
              <w:t xml:space="preserve">[  ]</w:t>
            </w:r>
          </w:p>
        </w:tc>
        <w:tc>
          <w:tcPr>
            <w:tcW w:type="dxa" w:w="32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/>
                <w:iCs/>
                <w:color w:val="9CA3AF"/>
              </w:rPr>
              <w:t xml:space="preserve">[  ]</w:t>
            </w:r>
          </w:p>
        </w:tc>
      </w:tr>
      <w:tr>
        <w:tc>
          <w:tcPr>
            <w:tcW w:type="dxa" w:w="3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E8EEF5" w:color="auto" w:val="clear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</w:rPr>
              <w:t xml:space="preserve">Employees (Startup, not ARTPARK)</w:t>
            </w:r>
          </w:p>
        </w:tc>
        <w:tc>
          <w:tcPr>
            <w:tcW w:type="dxa" w:w="1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/>
                <w:iCs/>
                <w:color w:val="9CA3AF"/>
              </w:rPr>
              <w:t xml:space="preserve">[  ]</w:t>
            </w:r>
          </w:p>
        </w:tc>
        <w:tc>
          <w:tcPr>
            <w:tcW w:type="dxa" w:w="1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/>
                <w:iCs/>
                <w:color w:val="9CA3AF"/>
              </w:rPr>
              <w:t xml:space="preserve">[  ]</w:t>
            </w:r>
          </w:p>
        </w:tc>
        <w:tc>
          <w:tcPr>
            <w:tcW w:type="dxa" w:w="1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/>
                <w:iCs/>
                <w:color w:val="9CA3AF"/>
              </w:rPr>
              <w:t xml:space="preserve">[  ]</w:t>
            </w:r>
          </w:p>
        </w:tc>
        <w:tc>
          <w:tcPr>
            <w:tcW w:type="dxa" w:w="32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/>
                <w:iCs/>
                <w:color w:val="9CA3AF"/>
              </w:rPr>
              <w:t xml:space="preserve">[  ]</w:t>
            </w:r>
          </w:p>
        </w:tc>
      </w:tr>
      <w:tr>
        <w:tc>
          <w:tcPr>
            <w:tcW w:type="dxa" w:w="3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E8EEF5" w:color="auto" w:val="clear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</w:rPr>
              <w:t xml:space="preserve">Consultants</w:t>
            </w:r>
          </w:p>
        </w:tc>
        <w:tc>
          <w:tcPr>
            <w:tcW w:type="dxa" w:w="1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/>
                <w:iCs/>
                <w:color w:val="9CA3AF"/>
              </w:rPr>
              <w:t xml:space="preserve">[  ]</w:t>
            </w:r>
          </w:p>
        </w:tc>
        <w:tc>
          <w:tcPr>
            <w:tcW w:type="dxa" w:w="1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/>
                <w:iCs/>
                <w:color w:val="9CA3AF"/>
              </w:rPr>
              <w:t xml:space="preserve">[  ]</w:t>
            </w:r>
          </w:p>
        </w:tc>
        <w:tc>
          <w:tcPr>
            <w:tcW w:type="dxa" w:w="1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/>
                <w:iCs/>
                <w:color w:val="9CA3AF"/>
              </w:rPr>
              <w:t xml:space="preserve">[  ]</w:t>
            </w:r>
          </w:p>
        </w:tc>
        <w:tc>
          <w:tcPr>
            <w:tcW w:type="dxa" w:w="32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/>
                <w:iCs/>
                <w:color w:val="9CA3AF"/>
              </w:rPr>
              <w:t xml:space="preserve">[  ]</w:t>
            </w:r>
          </w:p>
        </w:tc>
      </w:tr>
      <w:tr>
        <w:tc>
          <w:tcPr>
            <w:tcW w:type="dxa" w:w="3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E8EEF5" w:color="auto" w:val="clear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</w:rPr>
              <w:t xml:space="preserve">Interns</w:t>
            </w:r>
          </w:p>
        </w:tc>
        <w:tc>
          <w:tcPr>
            <w:tcW w:type="dxa" w:w="1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/>
                <w:iCs/>
                <w:color w:val="9CA3AF"/>
              </w:rPr>
              <w:t xml:space="preserve">[  ]</w:t>
            </w:r>
          </w:p>
        </w:tc>
        <w:tc>
          <w:tcPr>
            <w:tcW w:type="dxa" w:w="1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/>
                <w:iCs/>
                <w:color w:val="9CA3AF"/>
              </w:rPr>
              <w:t xml:space="preserve">[  ]</w:t>
            </w:r>
          </w:p>
        </w:tc>
        <w:tc>
          <w:tcPr>
            <w:tcW w:type="dxa" w:w="1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/>
                <w:iCs/>
                <w:color w:val="9CA3AF"/>
              </w:rPr>
              <w:t xml:space="preserve">[  ]</w:t>
            </w:r>
          </w:p>
        </w:tc>
        <w:tc>
          <w:tcPr>
            <w:tcW w:type="dxa" w:w="32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</w:tcPr>
          <w:p>
            <w:pPr>
              <w:spacing w:after="60" w:before="60"/>
            </w:pPr>
            <w:r>
              <w:rPr>
                <w:b w:val="false"/>
                <w:bCs w:val="false"/>
                <w:i/>
                <w:iCs/>
                <w:color w:val="9CA3AF"/>
              </w:rPr>
              <w:t xml:space="preserve">[  ]</w:t>
            </w:r>
          </w:p>
        </w:tc>
      </w:tr>
      <w:tr>
        <w:tc>
          <w:tcPr>
            <w:tcW w:type="dxa" w:w="3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E8EEF5" w:color="auto" w:val="clear"/>
          </w:tcPr>
          <w:p>
            <w:pPr>
              <w:spacing w:after="60" w:before="60"/>
            </w:pPr>
            <w:r>
              <w:rPr>
                <w:b/>
                <w:bCs/>
                <w:i w:val="false"/>
                <w:iCs w:val="false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E8EEF5" w:color="auto" w:val="clear"/>
          </w:tcPr>
          <w:p>
            <w:pPr>
              <w:spacing w:after="60" w:before="60"/>
            </w:pPr>
            <w:r>
              <w:rPr>
                <w:b/>
                <w:bCs/>
                <w:i/>
                <w:iCs/>
                <w:color w:val="9CA3AF"/>
              </w:rPr>
              <w:t xml:space="preserve">[  ]</w:t>
            </w:r>
          </w:p>
        </w:tc>
        <w:tc>
          <w:tcPr>
            <w:tcW w:type="dxa" w:w="1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E8EEF5" w:color="auto" w:val="clear"/>
          </w:tcPr>
          <w:p>
            <w:pPr>
              <w:spacing w:after="60" w:before="60"/>
            </w:pPr>
            <w:r>
              <w:rPr>
                <w:b/>
                <w:bCs/>
                <w:i/>
                <w:iCs/>
                <w:color w:val="9CA3AF"/>
              </w:rPr>
              <w:t xml:space="preserve">[  ]</w:t>
            </w:r>
          </w:p>
        </w:tc>
        <w:tc>
          <w:tcPr>
            <w:tcW w:type="dxa" w:w="1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E8EEF5" w:color="auto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32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E8EEF5" w:color="auto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Diversity snapshot: </w:t>
      </w:r>
      <w:r>
        <w:rPr>
          <w:i/>
          <w:iCs/>
          <w:color w:val="9CA3AF"/>
        </w:rPr>
        <w:t xml:space="preserve">e.g. 34% women (up from 28% last quarter); 2 SC/ST employees; 3 employees from non-metro backgrounds. Or write "not tracked yet — will start Q2".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Key hires this quarter: </w:t>
      </w:r>
      <w:r>
        <w:rPr>
          <w:i/>
          <w:iCs/>
          <w:color w:val="9CA3AF"/>
        </w:rPr>
        <w:t xml:space="preserve">e.g. VP Regulatory (ex-Wipro GE Healthcare); Senior RTL Engineer (ex-Intel Bangalore); Head of Clinical Affairs (ex-Philips).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Attrition: </w:t>
      </w:r>
      <w:r>
        <w:rPr>
          <w:i/>
          <w:iCs/>
          <w:color w:val="9CA3AF"/>
        </w:rPr>
        <w:t xml:space="preserve">e.g. 1 regretted departure (Senior Firmware Engineer, to a US semiconductor firm); 2 non-regretted. Retrospective completed.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Team structure changes: </w:t>
      </w:r>
      <w:r>
        <w:rPr>
          <w:i/>
          <w:iCs/>
          <w:color w:val="9CA3AF"/>
        </w:rPr>
        <w:t xml:space="preserve">e.g. Formed a dedicated Regulatory Affairs sub-team of 3 reporting to VP Regulatory.</w:t>
      </w:r>
    </w:p>
    <w:p>
      <w:pPr>
        <w:pStyle w:val="Heading1"/>
        <w:spacing w:after="160" w:before="340"/>
      </w:pPr>
      <w:r>
        <w:rPr>
          <w:b/>
          <w:bCs/>
          <w:color w:val="0F2A44"/>
          <w:sz w:val="28"/>
          <w:szCs w:val="28"/>
        </w:rPr>
        <w:t xml:space="preserve">9. Milestone Review &amp; Next-Quarter Plan</w:t>
      </w:r>
    </w:p>
    <w:p>
      <w:pPr>
        <w:pStyle w:val="Heading2"/>
        <w:spacing w:after="100" w:before="220"/>
      </w:pPr>
      <w:r>
        <w:rPr>
          <w:b/>
          <w:bCs/>
          <w:color w:val="2C4A6B"/>
          <w:sz w:val="22"/>
          <w:szCs w:val="22"/>
        </w:rPr>
        <w:t xml:space="preserve">9.1 What we planned last quarter vs what we achieved</w:t>
      </w:r>
    </w:p>
    <w:p>
      <w:pPr>
        <w:spacing w:after="120"/>
      </w:pPr>
      <w:r>
        <w:rPr>
          <w:i/>
          <w:iCs/>
        </w:rPr>
        <w:t xml:space="preserve">Honest, milestone-by-milestone. Include the ones that slipped or were dropped — that's the signal ARTPARK uses to calibrate.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9CA3AF"/>
        </w:rPr>
        <w:t xml:space="preserve">e.g. Planned: CDSCO manufacturing licence by 28-Feb. Achieved: Yes, granted 24-Feb.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9CA3AF"/>
        </w:rPr>
        <w:t xml:space="preserve">e.g. Planned: Silicon v0.2 tape-out at 75% yield. Actual: Tape-out done, yield 61%. Reason: DFT gaps. Corrective action: yield-improvement pass; v0.3 shifted to Q3.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9CA3AF"/>
        </w:rPr>
        <w:t xml:space="preserve">e.g. Planned: 3 hospital pilot signings. Actual: 2 signed (Fortis, Manipal); AIIMS delayed to Q3 pending IRB.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9CA3AF"/>
        </w:rPr>
        <w:t xml:space="preserve">Add one bullet per planned milestone.</w:t>
      </w:r>
    </w:p>
    <w:p>
      <w:pPr>
        <w:pStyle w:val="Heading2"/>
        <w:spacing w:after="100" w:before="220"/>
      </w:pPr>
      <w:r>
        <w:rPr>
          <w:b/>
          <w:bCs/>
          <w:color w:val="2C4A6B"/>
          <w:sz w:val="22"/>
          <w:szCs w:val="22"/>
        </w:rPr>
        <w:t xml:space="preserve">9.2 Top milestones for next quarter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9CA3AF"/>
        </w:rPr>
        <w:t xml:space="preserve">e.g. Close Series A (₹65-85 Cr).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9CA3AF"/>
        </w:rPr>
        <w:t xml:space="preserve">e.g. Silicon v0.3 tape-out with target yield ≥ 75%.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9CA3AF"/>
        </w:rPr>
        <w:t xml:space="preserve">e.g. Ramp to 40 units/month manufacturing capacity.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9CA3AF"/>
        </w:rPr>
        <w:t xml:space="preserve">e.g. FDA 510(k) pre-submission meeting.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9CA3AF"/>
        </w:rPr>
        <w:t xml:space="preserve">e.g. First revenue from ARTPARK-BMGF platform commercial licensing.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9CA3AF"/>
        </w:rPr>
        <w:t xml:space="preserve">e.g. Add 2-3 more.</w:t>
      </w:r>
    </w:p>
    <w:p>
      <w:pPr>
        <w:pStyle w:val="Heading2"/>
        <w:spacing w:after="100" w:before="220"/>
      </w:pPr>
      <w:r>
        <w:rPr>
          <w:b/>
          <w:bCs/>
          <w:color w:val="2C4A6B"/>
          <w:sz w:val="22"/>
          <w:szCs w:val="22"/>
        </w:rPr>
        <w:t xml:space="preserve">9.3 Strategic questions for the ARTPARK Governing Council</w:t>
      </w:r>
    </w:p>
    <w:p>
      <w:pPr>
        <w:spacing w:after="120"/>
      </w:pPr>
      <w:r>
        <w:rPr>
          <w:i/>
          <w:iCs/>
        </w:rPr>
        <w:t xml:space="preserve">Optional. Strategic or governance-level questions where you'd value input from ARTPARK's Board or funding partners. Skip if none.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9CA3AF"/>
        </w:rPr>
        <w:t xml:space="preserve">e.g. How should we balance the pull toward US expansion (via FDA path) against the density of the India opportunity? Would value Governing Council perspective.</w:t>
      </w:r>
    </w:p>
    <w:p>
      <w:pPr>
        <w:spacing w:after="120"/>
      </w:pPr>
      <w:r>
        <w:t xml:space="preserve"/>
      </w:r>
    </w:p>
    <w:p>
      <w:pPr>
        <w:pBdr>
          <w:top w:val="single" w:color="B0B7C3" w:sz="4" w:space="4"/>
        </w:pBdr>
        <w:spacing w:before="320"/>
      </w:pPr>
      <w:r>
        <w:rPr>
          <w:i/>
          <w:iCs/>
          <w:color w:val="6B7280"/>
          <w:sz w:val="18"/>
          <w:szCs w:val="18"/>
        </w:rPr>
        <w:t xml:space="preserve">[Company Legal Name]  ·  Confidential — for ARTPARK portfolio use, Governing Council &amp; funding stakeholders only.  ·  Submitted by [Name, Role, email]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ARTPARK Portfolio — Quarterly Review</dc:title>
  <dc:creator>ARTPARK @ IISc</dc:creator>
  <cp:lastModifiedBy>Un-named</cp:lastModifiedBy>
  <cp:revision>1</cp:revision>
  <dcterms:created xsi:type="dcterms:W3CDTF">2026-07-10T12:41:42.967Z</dcterms:created>
  <dcterms:modified xsi:type="dcterms:W3CDTF">2026-07-10T12:41:42.983Z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