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ejecuta la prueba automatizada funcional en los navegadores Chrome, electrón, firefox con éxito aplicando el patron object model además se intercepta las solicitudes para evitar que la prueba se caiga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Chrome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05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electron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