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5179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179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9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31F20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31F20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31F20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246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214" w:after="0"/>
        <w:ind w:left="2448" w:right="2304" w:firstLine="0"/>
        <w:jc w:val="center"/>
      </w:pPr>
      <w:r>
        <w:rPr>
          <w:rFonts w:ascii="MinionPro" w:hAnsi="MinionPro" w:eastAsia="MinionPro"/>
          <w:b/>
          <w:i w:val="0"/>
          <w:color w:val="231F20"/>
          <w:sz w:val="24"/>
        </w:rPr>
        <w:t xml:space="preserve">RECOVERY  OF  DAMAGES  FOR  THE </w:t>
      </w:r>
      <w:r>
        <w:br/>
      </w:r>
      <w:r>
        <w:rPr>
          <w:rFonts w:ascii="MinionPro" w:hAnsi="MinionPro" w:eastAsia="MinionPro"/>
          <w:b/>
          <w:i w:val="0"/>
          <w:color w:val="231F20"/>
          <w:sz w:val="24"/>
        </w:rPr>
        <w:t xml:space="preserve">DEATH  OF  A  PERSON </w:t>
      </w:r>
      <w:r>
        <w:br/>
      </w:r>
      <w:r>
        <w:rPr>
          <w:rFonts w:ascii="MinionPro" w:hAnsi="MinionPro" w:eastAsia="MinionPro"/>
          <w:b/>
          <w:i w:val="0"/>
          <w:color w:val="231F20"/>
          <w:sz w:val="24"/>
        </w:rPr>
        <w:t>ACT,  NO. 2  OF  2019</w:t>
      </w:r>
    </w:p>
    <w:p>
      <w:pPr>
        <w:autoSpaceDN w:val="0"/>
        <w:autoSpaceDE w:val="0"/>
        <w:widowControl/>
        <w:spacing w:line="235" w:lineRule="auto" w:before="188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12" w:after="0"/>
        <w:ind w:left="0" w:right="2934" w:firstLine="0"/>
        <w:jc w:val="right"/>
      </w:pPr>
      <w:r>
        <w:rPr>
          <w:rFonts w:ascii="Times" w:hAnsi="Times" w:eastAsia="Times"/>
          <w:b/>
          <w:i w:val="0"/>
          <w:color w:val="231F20"/>
          <w:sz w:val="20"/>
        </w:rPr>
        <w:t>[Certifi ed on 17th of January, 2019]</w:t>
      </w:r>
    </w:p>
    <w:p>
      <w:pPr>
        <w:autoSpaceDN w:val="0"/>
        <w:autoSpaceDE w:val="0"/>
        <w:widowControl/>
        <w:spacing w:line="235" w:lineRule="auto" w:before="468" w:after="0"/>
        <w:ind w:left="0" w:right="2968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Printed on the Order of Government</w:t>
      </w:r>
    </w:p>
    <w:p>
      <w:pPr>
        <w:autoSpaceDN w:val="0"/>
        <w:autoSpaceDE w:val="0"/>
        <w:widowControl/>
        <w:spacing w:line="235" w:lineRule="auto" w:before="330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508" w:after="0"/>
        <w:ind w:left="1584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31F20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31F20"/>
          <w:sz w:val="20"/>
        </w:rPr>
        <w:t>Socialist Republic of Sri Lanka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of January 18, 2019</w:t>
      </w:r>
    </w:p>
    <w:p>
      <w:pPr>
        <w:autoSpaceDN w:val="0"/>
        <w:autoSpaceDE w:val="0"/>
        <w:widowControl/>
        <w:spacing w:line="245" w:lineRule="auto" w:before="504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PRINTING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BUREAU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COLOMBO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5</w:t>
      </w:r>
    </w:p>
    <w:p>
      <w:pPr>
        <w:autoSpaceDN w:val="0"/>
        <w:tabs>
          <w:tab w:pos="6066" w:val="left"/>
        </w:tabs>
        <w:autoSpaceDE w:val="0"/>
        <w:widowControl/>
        <w:spacing w:line="238" w:lineRule="auto" w:before="118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 xml:space="preserve">Price : Rs. 8.00 </w:t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Postage : Rs. 15.00</w:t>
      </w:r>
    </w:p>
    <w:p>
      <w:pPr>
        <w:autoSpaceDN w:val="0"/>
        <w:tabs>
          <w:tab w:pos="6946" w:val="left"/>
        </w:tabs>
        <w:autoSpaceDE w:val="0"/>
        <w:widowControl/>
        <w:spacing w:line="240" w:lineRule="auto" w:before="128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16"/>
        </w:rPr>
        <w:t>This Act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4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2"/>
        <w:gridCol w:w="4512"/>
      </w:tblGrid>
      <w:tr>
        <w:trPr>
          <w:trHeight w:hRule="exact" w:val="2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 xml:space="preserve">Recovery of Damages for the Death of a Person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546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Act, No. 2 of 2019</w:t>
      </w:r>
    </w:p>
    <w:p>
      <w:pPr>
        <w:autoSpaceDN w:val="0"/>
        <w:autoSpaceDE w:val="0"/>
        <w:widowControl/>
        <w:spacing w:line="235" w:lineRule="auto" w:before="234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[Certifi ed on 17th of January, 2019]</w:t>
      </w:r>
    </w:p>
    <w:p>
      <w:pPr>
        <w:autoSpaceDN w:val="0"/>
        <w:autoSpaceDE w:val="0"/>
        <w:widowControl/>
        <w:spacing w:line="235" w:lineRule="auto" w:before="254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L.D.—O. 25/2017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14" w:after="0"/>
        <w:ind w:left="137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31F20"/>
          <w:sz w:val="14"/>
        </w:rPr>
        <w:t>CT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PROVIDE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RECOVERY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DAMAGES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DEATH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PERSON</w:t>
      </w:r>
      <w:r>
        <w:rPr>
          <w:rFonts w:ascii="Times" w:hAnsi="Times" w:eastAsia="Times"/>
          <w:b w:val="0"/>
          <w:i w:val="0"/>
          <w:color w:val="231F20"/>
          <w:sz w:val="14"/>
        </w:rPr>
        <w:t>CAUSED</w:t>
      </w:r>
      <w:r>
        <w:rPr>
          <w:rFonts w:ascii="Times" w:hAnsi="Times" w:eastAsia="Times"/>
          <w:b w:val="0"/>
          <w:i w:val="0"/>
          <w:color w:val="231F20"/>
          <w:sz w:val="14"/>
        </w:rPr>
        <w:t>BY</w:t>
      </w:r>
      <w:r>
        <w:rPr>
          <w:rFonts w:ascii="Times" w:hAnsi="Times" w:eastAsia="Times"/>
          <w:b w:val="0"/>
          <w:i w:val="0"/>
          <w:color w:val="231F20"/>
          <w:sz w:val="14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WRONGFUL</w:t>
      </w:r>
      <w:r>
        <w:rPr>
          <w:rFonts w:ascii="Times" w:hAnsi="Times" w:eastAsia="Times"/>
          <w:b w:val="0"/>
          <w:i w:val="0"/>
          <w:color w:val="231F20"/>
          <w:sz w:val="14"/>
        </w:rPr>
        <w:t>ACT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31F20"/>
          <w:sz w:val="14"/>
        </w:rPr>
        <w:t>OMISSION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, </w:t>
      </w:r>
    </w:p>
    <w:p>
      <w:pPr>
        <w:autoSpaceDN w:val="0"/>
        <w:autoSpaceDE w:val="0"/>
        <w:widowControl/>
        <w:spacing w:line="252" w:lineRule="auto" w:before="68" w:after="0"/>
        <w:ind w:left="159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4"/>
        </w:rPr>
        <w:t>NEGLIGENCE</w:t>
      </w:r>
      <w:r>
        <w:rPr>
          <w:rFonts w:ascii="Times" w:hAnsi="Times" w:eastAsia="Times"/>
          <w:b w:val="0"/>
          <w:i w:val="0"/>
          <w:color w:val="231F20"/>
          <w:sz w:val="14"/>
        </w:rPr>
        <w:t>OR</w:t>
      </w:r>
      <w:r>
        <w:rPr>
          <w:rFonts w:ascii="Times" w:hAnsi="Times" w:eastAsia="Times"/>
          <w:b w:val="0"/>
          <w:i w:val="0"/>
          <w:color w:val="231F20"/>
          <w:sz w:val="14"/>
        </w:rPr>
        <w:t>DEFAULT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ANOTHER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PROVIDE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31F20"/>
          <w:sz w:val="14"/>
        </w:rPr>
        <w:t>MATTERS</w:t>
      </w:r>
      <w:r>
        <w:rPr>
          <w:rFonts w:ascii="Times" w:hAnsi="Times" w:eastAsia="Times"/>
          <w:b w:val="0"/>
          <w:i w:val="0"/>
          <w:color w:val="231F20"/>
          <w:sz w:val="14"/>
        </w:rPr>
        <w:t>CONNECTED</w:t>
      </w:r>
      <w:r>
        <w:rPr>
          <w:rFonts w:ascii="Times" w:hAnsi="Times" w:eastAsia="Times"/>
          <w:b w:val="0"/>
          <w:i w:val="0"/>
          <w:color w:val="231F20"/>
          <w:sz w:val="14"/>
        </w:rPr>
        <w:t>THEREWITH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INCIDENTAL</w:t>
      </w:r>
      <w:r>
        <w:rPr>
          <w:rFonts w:ascii="Times" w:hAnsi="Times" w:eastAsia="Times"/>
          <w:b w:val="0"/>
          <w:i w:val="0"/>
          <w:color w:val="231F20"/>
          <w:sz w:val="14"/>
        </w:rPr>
        <w:t>THERETO</w:t>
      </w:r>
      <w:r>
        <w:rPr>
          <w:rFonts w:ascii="Times" w:hAnsi="Times" w:eastAsia="Times"/>
          <w:b w:val="0"/>
          <w:i w:val="0"/>
          <w:color w:val="231F20"/>
          <w:sz w:val="20"/>
        </w:rPr>
        <w:t>.</w:t>
      </w:r>
    </w:p>
    <w:p>
      <w:pPr>
        <w:autoSpaceDN w:val="0"/>
        <w:autoSpaceDE w:val="0"/>
        <w:widowControl/>
        <w:spacing w:line="245" w:lineRule="auto" w:before="114" w:after="0"/>
        <w:ind w:left="135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31F20"/>
          <w:sz w:val="20"/>
        </w:rPr>
        <w:t>Republic of Sri Lanka as follows:—</w:t>
      </w:r>
    </w:p>
    <w:p>
      <w:pPr>
        <w:autoSpaceDN w:val="0"/>
        <w:tabs>
          <w:tab w:pos="1610" w:val="left"/>
          <w:tab w:pos="6384" w:val="left"/>
        </w:tabs>
        <w:autoSpaceDE w:val="0"/>
        <w:widowControl/>
        <w:spacing w:line="245" w:lineRule="auto" w:before="94" w:after="0"/>
        <w:ind w:left="1370" w:right="1872" w:firstLine="0"/>
        <w:jc w:val="left"/>
      </w:pP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1.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This Act may be cited as the Recovery of Damages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231F20"/>
          <w:sz w:val="20"/>
        </w:rPr>
        <w:t>for the Death of a Person Act, No. 2 of 2019.</w:t>
      </w:r>
    </w:p>
    <w:p>
      <w:pPr>
        <w:autoSpaceDN w:val="0"/>
        <w:tabs>
          <w:tab w:pos="1610" w:val="left"/>
          <w:tab w:pos="6384" w:val="left"/>
        </w:tabs>
        <w:autoSpaceDE w:val="0"/>
        <w:widowControl/>
        <w:spacing w:line="245" w:lineRule="auto" w:before="134" w:after="0"/>
        <w:ind w:left="1370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2.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(1) Where the death of a person is caused by a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Right to maintain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wrongful act, omission, negligence or default of another,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an action. </w:t>
      </w:r>
    </w:p>
    <w:p>
      <w:pPr>
        <w:autoSpaceDN w:val="0"/>
        <w:autoSpaceDE w:val="0"/>
        <w:widowControl/>
        <w:spacing w:line="247" w:lineRule="auto" w:before="14" w:after="0"/>
        <w:ind w:left="1370" w:right="2822" w:firstLine="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person referred to in subsection (2) (hereinafter referred to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as  the “applicant”) shall have the right to maintain an action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for damages in respect thereof, against the person whose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wrongful act, omission, negligence or default caused the </w:t>
      </w:r>
      <w:r>
        <w:rPr>
          <w:rFonts w:ascii="Times" w:hAnsi="Times" w:eastAsia="Times"/>
          <w:b w:val="0"/>
          <w:i w:val="0"/>
          <w:color w:val="231F20"/>
          <w:sz w:val="20"/>
        </w:rPr>
        <w:t>death of such person.</w:t>
      </w:r>
    </w:p>
    <w:p>
      <w:pPr>
        <w:autoSpaceDN w:val="0"/>
        <w:autoSpaceDE w:val="0"/>
        <w:widowControl/>
        <w:spacing w:line="235" w:lineRule="auto" w:before="94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(2) The action may be maintained by—</w:t>
      </w:r>
    </w:p>
    <w:p>
      <w:pPr>
        <w:autoSpaceDN w:val="0"/>
        <w:autoSpaceDE w:val="0"/>
        <w:widowControl/>
        <w:spacing w:line="235" w:lineRule="auto" w:before="154" w:after="0"/>
        <w:ind w:left="213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>) the spouse;</w:t>
      </w:r>
    </w:p>
    <w:p>
      <w:pPr>
        <w:autoSpaceDN w:val="0"/>
        <w:autoSpaceDE w:val="0"/>
        <w:widowControl/>
        <w:spacing w:line="235" w:lineRule="auto" w:before="174" w:after="0"/>
        <w:ind w:left="213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>) a parent or the parents jointly;</w:t>
      </w:r>
    </w:p>
    <w:p>
      <w:pPr>
        <w:autoSpaceDN w:val="0"/>
        <w:autoSpaceDE w:val="0"/>
        <w:widowControl/>
        <w:spacing w:line="235" w:lineRule="auto" w:before="174" w:after="0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>) a child or the children jointly;</w:t>
      </w:r>
    </w:p>
    <w:p>
      <w:pPr>
        <w:autoSpaceDN w:val="0"/>
        <w:autoSpaceDE w:val="0"/>
        <w:widowControl/>
        <w:spacing w:line="235" w:lineRule="auto" w:before="174" w:after="0"/>
        <w:ind w:left="213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d</w:t>
      </w:r>
      <w:r>
        <w:rPr>
          <w:rFonts w:ascii="Times" w:hAnsi="Times" w:eastAsia="Times"/>
          <w:b w:val="0"/>
          <w:i w:val="0"/>
          <w:color w:val="231F20"/>
          <w:sz w:val="20"/>
        </w:rPr>
        <w:t>) a sibling or the siblings jointly;</w:t>
      </w:r>
    </w:p>
    <w:p>
      <w:pPr>
        <w:autoSpaceDN w:val="0"/>
        <w:autoSpaceDE w:val="0"/>
        <w:widowControl/>
        <w:spacing w:line="235" w:lineRule="auto" w:before="174" w:after="0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e</w:t>
      </w:r>
      <w:r>
        <w:rPr>
          <w:rFonts w:ascii="Times" w:hAnsi="Times" w:eastAsia="Times"/>
          <w:b w:val="0"/>
          <w:i w:val="0"/>
          <w:color w:val="231F20"/>
          <w:sz w:val="20"/>
        </w:rPr>
        <w:t>) a grandparent or the grandparents jointly; or</w:t>
      </w:r>
    </w:p>
    <w:p>
      <w:pPr>
        <w:autoSpaceDN w:val="0"/>
        <w:autoSpaceDE w:val="0"/>
        <w:widowControl/>
        <w:spacing w:line="235" w:lineRule="auto" w:before="174" w:after="154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f</w:t>
      </w:r>
      <w:r>
        <w:rPr>
          <w:rFonts w:ascii="Times" w:hAnsi="Times" w:eastAsia="Times"/>
          <w:b w:val="0"/>
          <w:i w:val="0"/>
          <w:color w:val="231F20"/>
          <w:sz w:val="20"/>
        </w:rPr>
        <w:t>) the guardian.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58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45" w:lineRule="auto" w:before="60" w:after="0"/>
              <w:ind w:left="6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In an action to recover damages for the death of a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person, the applicant may recover damages for—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Damages for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death of a person.</w:t>
            </w:r>
          </w:p>
        </w:tc>
      </w:tr>
    </w:tbl>
    <w:p>
      <w:pPr>
        <w:autoSpaceDN w:val="0"/>
        <w:tabs>
          <w:tab w:pos="2070" w:val="left"/>
        </w:tabs>
        <w:autoSpaceDE w:val="0"/>
        <w:widowControl/>
        <w:spacing w:line="245" w:lineRule="auto" w:before="154" w:after="0"/>
        <w:ind w:left="165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loss of that person’s love and affection and care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and companionship; and</w:t>
      </w:r>
    </w:p>
    <w:p>
      <w:pPr>
        <w:autoSpaceDN w:val="0"/>
        <w:autoSpaceDE w:val="0"/>
        <w:widowControl/>
        <w:spacing w:line="235" w:lineRule="auto" w:before="254" w:after="0"/>
        <w:ind w:left="165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>) the mental pain and suffering.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362" w:val="left"/>
          <w:tab w:pos="4556" w:val="left"/>
        </w:tabs>
        <w:autoSpaceDE w:val="0"/>
        <w:widowControl/>
        <w:spacing w:line="245" w:lineRule="auto" w:before="0" w:after="202"/>
        <w:ind w:left="2884" w:right="1728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 xml:space="preserve">Recovery of Damages for the Death of a Person </w:t>
      </w:r>
      <w:r>
        <w:br/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>Act, No. 2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49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2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No 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succession.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Where an applicant dies—</w:t>
            </w:r>
          </w:p>
        </w:tc>
      </w:tr>
    </w:tbl>
    <w:p>
      <w:pPr>
        <w:autoSpaceDN w:val="0"/>
        <w:autoSpaceDE w:val="0"/>
        <w:widowControl/>
        <w:spacing w:line="238" w:lineRule="auto" w:before="44" w:after="0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>) before a claim under this Act is made; or</w:t>
      </w:r>
    </w:p>
    <w:p>
      <w:pPr>
        <w:autoSpaceDN w:val="0"/>
        <w:tabs>
          <w:tab w:pos="4104" w:val="left"/>
        </w:tabs>
        <w:autoSpaceDE w:val="0"/>
        <w:widowControl/>
        <w:spacing w:line="245" w:lineRule="auto" w:before="252" w:after="0"/>
        <w:ind w:left="3690" w:right="115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after a claim is made but before a judgment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delivered,</w:t>
      </w:r>
    </w:p>
    <w:p>
      <w:pPr>
        <w:autoSpaceDN w:val="0"/>
        <w:autoSpaceDE w:val="0"/>
        <w:widowControl/>
        <w:spacing w:line="245" w:lineRule="auto" w:before="252" w:after="0"/>
        <w:ind w:left="2904" w:right="115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the heirs, executors or administrators of such deceased </w:t>
      </w:r>
      <w:r>
        <w:rPr>
          <w:rFonts w:ascii="Times" w:hAnsi="Times" w:eastAsia="Times"/>
          <w:b w:val="0"/>
          <w:i w:val="0"/>
          <w:color w:val="231F20"/>
          <w:sz w:val="20"/>
        </w:rPr>
        <w:t>applicant shall have no right for the damages.</w:t>
      </w:r>
    </w:p>
    <w:p>
      <w:pPr>
        <w:autoSpaceDN w:val="0"/>
        <w:tabs>
          <w:tab w:pos="2924" w:val="left"/>
          <w:tab w:pos="3164" w:val="left"/>
        </w:tabs>
        <w:autoSpaceDE w:val="0"/>
        <w:widowControl/>
        <w:spacing w:line="247" w:lineRule="auto" w:before="252" w:after="192"/>
        <w:ind w:left="1440" w:right="115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Assistance of an </w:t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5.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The Court may, for the purpose of deciding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expert.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any  matter under this Act, call on one or more persons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specially skilled in any matter relevant to the matter under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consideration, for assistance.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272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2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Damages where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abandonment has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occurred.</w:t>
            </w:r>
          </w:p>
          <w:p>
            <w:pPr>
              <w:autoSpaceDN w:val="0"/>
              <w:autoSpaceDE w:val="0"/>
              <w:widowControl/>
              <w:spacing w:line="247" w:lineRule="auto" w:before="334" w:after="0"/>
              <w:ind w:left="72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this Act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addition to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other remedy.</w:t>
            </w:r>
          </w:p>
          <w:p>
            <w:pPr>
              <w:autoSpaceDN w:val="0"/>
              <w:autoSpaceDE w:val="0"/>
              <w:widowControl/>
              <w:spacing w:line="247" w:lineRule="auto" w:before="446" w:after="0"/>
              <w:ind w:left="72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inconsistency.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45" w:lineRule="auto" w:before="60" w:after="0"/>
              <w:ind w:left="1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Any applicant who has abandoned the deceased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person shall not be entitled to claim damages under this Act.</w:t>
            </w:r>
          </w:p>
          <w:p>
            <w:pPr>
              <w:autoSpaceDN w:val="0"/>
              <w:autoSpaceDE w:val="0"/>
              <w:widowControl/>
              <w:spacing w:line="247" w:lineRule="auto" w:before="412" w:after="0"/>
              <w:ind w:left="164" w:right="62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The provisions of this Act shall be in addition to and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not in derogation of any other right or remedy provided 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any other written law or unwritten law.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45" w:lineRule="auto" w:before="492" w:after="0"/>
              <w:ind w:left="1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and Tamil texts of this Act, the Sinhala text shall prevail.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8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2"/>
        <w:gridCol w:w="4512"/>
      </w:tblGrid>
      <w:tr>
        <w:trPr>
          <w:trHeight w:hRule="exact" w:val="294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 xml:space="preserve">Recovery of Damages for the Death of a Person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546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Act, No. 2 of 2019</w:t>
      </w:r>
    </w:p>
    <w:p>
      <w:pPr>
        <w:autoSpaceDN w:val="0"/>
        <w:autoSpaceDE w:val="0"/>
        <w:widowControl/>
        <w:spacing w:line="245" w:lineRule="auto" w:before="9152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English Acts of the Parliament can be purchased at the “prakashana   piyasa”, Department of </w:t>
      </w:r>
      <w:r>
        <w:rPr>
          <w:rFonts w:ascii="Times" w:hAnsi="Times" w:eastAsia="Times"/>
          <w:b w:val="0"/>
          <w:i w:val="0"/>
          <w:color w:val="231F20"/>
          <w:sz w:val="16"/>
        </w:rPr>
        <w:t>Government Printing, No. 118, Dr. Danister De Silva Mawatha, Colombo 8.</w:t>
      </w:r>
    </w:p>
    <w:sectPr w:rsidR="00FC693F" w:rsidRPr="0006063C" w:rsidSect="00034616">
      <w:pgSz w:w="11904" w:h="16840"/>
      <w:pgMar w:top="1440" w:right="1440" w:bottom="1440" w:left="1440" w:header="720" w:footer="720" w:gutter="0"/>
      <w:cols w:space="720" w:num="1" w:equalWidth="0">
        <w:col w:w="9024" w:space="0"/>
        <w:col w:w="9024" w:space="0"/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