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5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COMMISSIONS  OF  INQUIRY  (AMENDMENT)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3  OF  2019</w:t>
      </w:r>
    </w:p>
    <w:p>
      <w:pPr>
        <w:autoSpaceDN w:val="0"/>
        <w:autoSpaceDE w:val="0"/>
        <w:widowControl/>
        <w:spacing w:line="235" w:lineRule="auto" w:before="806" w:after="0"/>
        <w:ind w:left="0" w:right="290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February, 2019]</w:t>
      </w:r>
    </w:p>
    <w:p>
      <w:pPr>
        <w:autoSpaceDN w:val="0"/>
        <w:autoSpaceDE w:val="0"/>
        <w:widowControl/>
        <w:spacing w:line="235" w:lineRule="auto" w:before="5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5" w:lineRule="auto" w:before="89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5" w:lineRule="auto" w:before="14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01, 2019</w:t>
      </w:r>
    </w:p>
    <w:p>
      <w:pPr>
        <w:autoSpaceDN w:val="0"/>
        <w:autoSpaceDE w:val="0"/>
        <w:widowControl/>
        <w:spacing w:line="238" w:lineRule="auto" w:before="44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Commissions  of  Inquiry 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2019</w:t>
      </w:r>
    </w:p>
    <w:p>
      <w:pPr>
        <w:autoSpaceDN w:val="0"/>
        <w:autoSpaceDE w:val="0"/>
        <w:widowControl/>
        <w:spacing w:line="235" w:lineRule="auto" w:before="246" w:after="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01st of February, 2019]</w:t>
      </w:r>
    </w:p>
    <w:p>
      <w:pPr>
        <w:autoSpaceDN w:val="0"/>
        <w:autoSpaceDE w:val="0"/>
        <w:widowControl/>
        <w:spacing w:line="235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1/2018.</w:t>
      </w:r>
    </w:p>
    <w:p>
      <w:pPr>
        <w:autoSpaceDN w:val="0"/>
        <w:autoSpaceDE w:val="0"/>
        <w:widowControl/>
        <w:spacing w:line="247" w:lineRule="auto" w:before="266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393)</w:t>
      </w:r>
    </w:p>
    <w:p>
      <w:pPr>
        <w:autoSpaceDN w:val="0"/>
        <w:autoSpaceDE w:val="0"/>
        <w:widowControl/>
        <w:spacing w:line="247" w:lineRule="auto" w:before="264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Commissions of Inquiry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3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Commissions of Inquiry Act (Chapter 393)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393.</w:t>
            </w:r>
          </w:p>
        </w:tc>
      </w:tr>
      <w:tr>
        <w:trPr>
          <w:trHeight w:hRule="exact" w:val="7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immediately after section 24,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and the new sections shall have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effect as sections 24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24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, 24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24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that </w:t>
      </w:r>
      <w:r>
        <w:rPr>
          <w:rFonts w:ascii="Times" w:hAnsi="Times" w:eastAsia="Times"/>
          <w:b w:val="0"/>
          <w:i w:val="0"/>
          <w:color w:val="221F1F"/>
          <w:sz w:val="20"/>
        </w:rPr>
        <w:t>enactment:-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77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Allegations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Bribery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written law, where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Investigate Allegations of Bribery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Corruption, on a consideration of material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collected in the course of an investigation or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both an investigation and inquiry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 by a Commission of Inquiry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2, is satisfied that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the following laws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committed, it may direct the Director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institute criminal proceedings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-</w:t>
      </w:r>
    </w:p>
    <w:p>
      <w:pPr>
        <w:autoSpaceDN w:val="0"/>
        <w:autoSpaceDE w:val="0"/>
        <w:widowControl/>
        <w:spacing w:line="238" w:lineRule="auto" w:before="264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Bribery Act; or</w:t>
      </w:r>
    </w:p>
    <w:p>
      <w:pPr>
        <w:autoSpaceDN w:val="0"/>
        <w:autoSpaceDE w:val="0"/>
        <w:widowControl/>
        <w:spacing w:line="238" w:lineRule="auto" w:before="284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Declaration of Assets and Liabilities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586" w:val="left"/>
          <w:tab w:pos="4442" w:val="left"/>
        </w:tabs>
        <w:autoSpaceDE w:val="0"/>
        <w:widowControl/>
        <w:spacing w:line="252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Commissions  of  Inquiry 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2019</w:t>
      </w:r>
    </w:p>
    <w:p>
      <w:pPr>
        <w:autoSpaceDN w:val="0"/>
        <w:autoSpaceDE w:val="0"/>
        <w:widowControl/>
        <w:spacing w:line="247" w:lineRule="auto" w:before="24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to Investigate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of Bribery or Corruption may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institution of proceedings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-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54" w:after="0"/>
        <w:ind w:left="39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conduct further investigations into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of any offence;</w:t>
      </w:r>
    </w:p>
    <w:p>
      <w:pPr>
        <w:autoSpaceDN w:val="0"/>
        <w:autoSpaceDE w:val="0"/>
        <w:widowControl/>
        <w:spacing w:line="247" w:lineRule="auto" w:before="254" w:after="0"/>
        <w:ind w:left="434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material that may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in the course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Bribery or Corruption prior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the material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and</w:t>
      </w:r>
    </w:p>
    <w:p>
      <w:pPr>
        <w:autoSpaceDN w:val="0"/>
        <w:autoSpaceDE w:val="0"/>
        <w:widowControl/>
        <w:spacing w:line="247" w:lineRule="auto" w:before="254" w:after="194"/>
        <w:ind w:left="434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material the Commission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 Allegations of Bribery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Corruption may have received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law enforcement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21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Investigate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Allegations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Bribery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forward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material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collected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received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relevant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written law, the 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Investigate Allegations of Bribery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Corruption may, if it deems appropriate,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forward the material collected and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the Attorney-General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other authority to take any appropriate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action 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7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Investigate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Allegations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Bribery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record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evidence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given.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 of Bribery or Corruption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required, unless it deems appropriate to,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 a statement of a person who has given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to a Commission of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under section 2 or has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 before such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96" w:val="left"/>
          <w:tab w:pos="6134" w:val="left"/>
        </w:tabs>
        <w:autoSpaceDE w:val="0"/>
        <w:widowControl/>
        <w:spacing w:line="252" w:lineRule="auto" w:before="0" w:after="178"/>
        <w:ind w:left="224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Commissions  of  Inquiry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984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Allegations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Bribery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6" w:right="1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solicit, receive and consider the advice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opinion of the Attorney-General or any  officer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3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27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802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seek advice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opinion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Attorney-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General.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representing the Attorney-General in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to the provisions of sections 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provisions of this Act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0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restrict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Allegations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Bribery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restrict the powers and 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Bribery or Corruption conferred on it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Bribery or Corruption Act or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8" w:right="38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2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26 of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and shall have effect as section 27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“Interpretation.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27. In this Act unless the context otherwise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5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requires-</w:t>
      </w:r>
    </w:p>
    <w:p>
      <w:pPr>
        <w:autoSpaceDN w:val="0"/>
        <w:tabs>
          <w:tab w:pos="3016" w:val="left"/>
        </w:tabs>
        <w:autoSpaceDE w:val="0"/>
        <w:widowControl/>
        <w:spacing w:line="245" w:lineRule="auto" w:before="162" w:after="0"/>
        <w:ind w:left="26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“Bribery Act” means the Bribery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26);</w:t>
      </w:r>
    </w:p>
    <w:p>
      <w:pPr>
        <w:autoSpaceDN w:val="0"/>
        <w:autoSpaceDE w:val="0"/>
        <w:widowControl/>
        <w:spacing w:line="245" w:lineRule="auto" w:before="162" w:after="0"/>
        <w:ind w:left="301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Act”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Bribery or Corruption Act, No. 19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1994;</w:t>
      </w:r>
    </w:p>
    <w:p>
      <w:pPr>
        <w:autoSpaceDN w:val="0"/>
        <w:autoSpaceDE w:val="0"/>
        <w:widowControl/>
        <w:spacing w:line="245" w:lineRule="auto" w:before="160" w:after="0"/>
        <w:ind w:left="301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by section 2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Investigate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of Bribery or 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586" w:val="left"/>
          <w:tab w:pos="4442" w:val="left"/>
        </w:tabs>
        <w:autoSpaceDE w:val="0"/>
        <w:widowControl/>
        <w:spacing w:line="252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Commissions  of  Inquiry 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2019</w:t>
      </w:r>
    </w:p>
    <w:p>
      <w:pPr>
        <w:autoSpaceDN w:val="0"/>
        <w:autoSpaceDE w:val="0"/>
        <w:widowControl/>
        <w:spacing w:line="245" w:lineRule="auto" w:before="244" w:after="0"/>
        <w:ind w:left="434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“Declaration of Assets and Liabilities Law”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Declaration of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Liabilties Law, No. 1 of 1975;</w:t>
      </w:r>
    </w:p>
    <w:p>
      <w:pPr>
        <w:autoSpaceDN w:val="0"/>
        <w:autoSpaceDE w:val="0"/>
        <w:widowControl/>
        <w:spacing w:line="247" w:lineRule="auto" w:before="254" w:after="0"/>
        <w:ind w:left="434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“Director General” means the Director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for the Prevention of Bribery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Corruption appointed under section 16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to Investigate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of Bribery or 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47" w:lineRule="auto" w:before="254" w:after="208"/>
        <w:ind w:left="434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“law enforcement authority” means a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any other person or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authorized by or under any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investigate into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an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to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“Governor-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General”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to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“President”.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there shall be</w:t>
            </w:r>
          </w:p>
        </w:tc>
      </w:tr>
      <w:tr>
        <w:trPr>
          <w:trHeight w:hRule="exact" w:val="9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substituted for the words “Governor-General”, the word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“President”.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reference to the “Governor-General”, in any</w:t>
            </w:r>
          </w:p>
        </w:tc>
      </w:tr>
    </w:tbl>
    <w:p>
      <w:pPr>
        <w:autoSpaceDN w:val="0"/>
        <w:autoSpaceDE w:val="0"/>
        <w:widowControl/>
        <w:spacing w:line="247" w:lineRule="auto" w:before="6" w:after="17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regulation, rule, order, notice, notification, circular, contract,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or other document issued under the principal </w:t>
      </w:r>
      <w:r>
        <w:rPr>
          <w:rFonts w:ascii="Times" w:hAnsi="Times" w:eastAsia="Times"/>
          <w:b w:val="0"/>
          <w:i w:val="0"/>
          <w:color w:val="221F1F"/>
          <w:sz w:val="20"/>
        </w:rPr>
        <w:t>enactment shall be read and construed as a reference to the</w:t>
      </w:r>
      <w:r>
        <w:rPr>
          <w:rFonts w:ascii="Times" w:hAnsi="Times" w:eastAsia="Times"/>
          <w:b w:val="0"/>
          <w:i w:val="0"/>
          <w:color w:val="221F1F"/>
          <w:sz w:val="20"/>
        </w:rPr>
        <w:t>“President”.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0" w:right="6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4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Commissions  of  Inquiry 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2019</w:t>
      </w:r>
    </w:p>
    <w:p>
      <w:pPr>
        <w:autoSpaceDN w:val="0"/>
        <w:autoSpaceDE w:val="0"/>
        <w:widowControl/>
        <w:spacing w:line="245" w:lineRule="auto" w:before="884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