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7" w:lineRule="auto" w:before="696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REVIVAL  OF  UNDERPERFORMING  ENTERPRISES 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OR  UNDERUTILIZED  ASSETS (REPEAL)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ACT, No. 12 OF 2019</w:t>
      </w:r>
    </w:p>
    <w:p>
      <w:pPr>
        <w:autoSpaceDN w:val="0"/>
        <w:autoSpaceDE w:val="0"/>
        <w:widowControl/>
        <w:spacing w:line="238" w:lineRule="auto" w:before="812" w:after="0"/>
        <w:ind w:left="0" w:right="30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28th of June, 2019]</w:t>
      </w:r>
    </w:p>
    <w:p>
      <w:pPr>
        <w:autoSpaceDN w:val="0"/>
        <w:autoSpaceDE w:val="0"/>
        <w:widowControl/>
        <w:spacing w:line="235" w:lineRule="auto" w:before="36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5" w:lineRule="auto" w:before="81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28, 2019</w:t>
      </w:r>
    </w:p>
    <w:p>
      <w:pPr>
        <w:autoSpaceDN w:val="0"/>
        <w:autoSpaceDE w:val="0"/>
        <w:widowControl/>
        <w:spacing w:line="245" w:lineRule="auto" w:before="406" w:after="152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28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Revival of Underperforming Enterprises or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 Act, No. 12 of 2019</w:t>
      </w:r>
    </w:p>
    <w:p>
      <w:pPr>
        <w:autoSpaceDN w:val="0"/>
        <w:autoSpaceDE w:val="0"/>
        <w:widowControl/>
        <w:spacing w:line="238" w:lineRule="auto" w:before="258" w:after="0"/>
        <w:ind w:left="0" w:right="7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28th of June, 2019]</w:t>
      </w:r>
    </w:p>
    <w:p>
      <w:pPr>
        <w:autoSpaceDN w:val="0"/>
        <w:autoSpaceDE w:val="0"/>
        <w:widowControl/>
        <w:spacing w:line="238" w:lineRule="auto" w:before="252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D.—O. 14/2018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932" w:space="0"/>
            <w:col w:w="3087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1122"/>
        <w:ind w:left="2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932" w:space="0"/>
            <w:col w:w="3087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EVIVAL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NDERPERFORMING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NTERPRISES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NDERUTILIZED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45" w:lineRule="auto" w:before="252" w:after="192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Revival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Underperforming Enterprises or Underutilized Assets </w:t>
      </w:r>
      <w:r>
        <w:rPr>
          <w:rFonts w:ascii="Times" w:hAnsi="Times" w:eastAsia="Times"/>
          <w:b w:val="0"/>
          <w:i w:val="0"/>
          <w:color w:val="000000"/>
          <w:sz w:val="20"/>
        </w:rPr>
        <w:t>(Repeal) Act, No. 12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Revival of Underperforming Enterprises or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43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2011.</w:t>
            </w:r>
          </w:p>
          <w:p>
            <w:pPr>
              <w:autoSpaceDN w:val="0"/>
              <w:autoSpaceDE w:val="0"/>
              <w:widowControl/>
              <w:spacing w:line="245" w:lineRule="auto" w:before="40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Avoidance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doubt.</w:t>
            </w:r>
          </w:p>
        </w:tc>
      </w:tr>
      <w:tr>
        <w:trPr>
          <w:trHeight w:hRule="exact" w:val="6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Underutilized Assets Act, No. 43 of 2011 (hereinafter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“repealed Act”) is hereby repealed.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 it is hereby declared that,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the date of commencement of this Act,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192"/>
        <w:ind w:left="1432" w:right="27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Underperforming Enterprises or Underutilized Assets,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Schedule I and Schedule II  of the repealed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in the Secretary to the Treasury for and on behalf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under section 2 of the repealed Act, and subsisting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shall continue to be so vested in the Secretary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the Treasury for and on behalf of the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repeal of the Revival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Savings.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Underperforming Enterprises or Underutilized Assets </w:t>
      </w:r>
      <w:r>
        <w:rPr>
          <w:rFonts w:ascii="Times" w:hAnsi="Times" w:eastAsia="Times"/>
          <w:b w:val="0"/>
          <w:i w:val="0"/>
          <w:color w:val="000000"/>
          <w:sz w:val="20"/>
        </w:rPr>
        <w:t>Act, No. 43 of 2011—</w:t>
      </w:r>
    </w:p>
    <w:p>
      <w:pPr>
        <w:autoSpaceDN w:val="0"/>
        <w:tabs>
          <w:tab w:pos="2152" w:val="left"/>
        </w:tabs>
        <w:autoSpaceDE w:val="0"/>
        <w:widowControl/>
        <w:spacing w:line="250" w:lineRule="auto" w:before="252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acts done under or pursuant to the repealed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control, administration,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revival as the case may be,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Underperforming Enterprises or Underutilized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Assests including the issuing of shares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execution of all contracts, deeds, bonds, agreements,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memorandums of understanding, guarantees,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932" w:space="0"/>
            <w:col w:w="3087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84" w:val="left"/>
          <w:tab w:pos="3450" w:val="left"/>
        </w:tabs>
        <w:autoSpaceDE w:val="0"/>
        <w:widowControl/>
        <w:spacing w:line="228" w:lineRule="exact" w:before="38" w:after="0"/>
        <w:ind w:left="2784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Revival of Underperforming Enterprises or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 Act, No. 12 of 2019</w:t>
      </w:r>
    </w:p>
    <w:p>
      <w:pPr>
        <w:autoSpaceDN w:val="0"/>
        <w:autoSpaceDE w:val="0"/>
        <w:widowControl/>
        <w:spacing w:line="252" w:lineRule="auto" w:before="256" w:after="0"/>
        <w:ind w:left="3520" w:right="14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attorney, grants of legal representation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instruments of whatever nature and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licences, permits and approvals obtained in relation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pursuance thereto, shall continue to be valid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in force in accordance with the terms thereof;</w:t>
      </w:r>
    </w:p>
    <w:p>
      <w:pPr>
        <w:autoSpaceDN w:val="0"/>
        <w:tabs>
          <w:tab w:pos="3520" w:val="left"/>
        </w:tabs>
        <w:autoSpaceDE w:val="0"/>
        <w:widowControl/>
        <w:spacing w:line="250" w:lineRule="auto" w:before="266" w:after="0"/>
        <w:ind w:left="311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otherwise determined by the Minister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 of the subject of Finance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concurrence of the Cabinet of Ministers—</w:t>
      </w:r>
    </w:p>
    <w:p>
      <w:pPr>
        <w:autoSpaceDN w:val="0"/>
        <w:tabs>
          <w:tab w:pos="4218" w:val="left"/>
          <w:tab w:pos="4240" w:val="left"/>
        </w:tabs>
        <w:autoSpaceDE w:val="0"/>
        <w:widowControl/>
        <w:spacing w:line="252" w:lineRule="auto" w:before="266" w:after="0"/>
        <w:ind w:left="38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property movable or immovable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any building and any fixtures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fittings which are part of such building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building appurtenant thereto or treated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part and parcel thereof;</w:t>
      </w:r>
    </w:p>
    <w:p>
      <w:pPr>
        <w:autoSpaceDN w:val="0"/>
        <w:tabs>
          <w:tab w:pos="4240" w:val="left"/>
        </w:tabs>
        <w:autoSpaceDE w:val="0"/>
        <w:widowControl/>
        <w:spacing w:line="235" w:lineRule="auto" w:before="266" w:after="0"/>
        <w:ind w:left="38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liabilities incurred;</w:t>
      </w:r>
    </w:p>
    <w:p>
      <w:pPr>
        <w:autoSpaceDN w:val="0"/>
        <w:tabs>
          <w:tab w:pos="4218" w:val="left"/>
          <w:tab w:pos="4242" w:val="left"/>
        </w:tabs>
        <w:autoSpaceDE w:val="0"/>
        <w:widowControl/>
        <w:spacing w:line="247" w:lineRule="auto" w:before="266" w:after="0"/>
        <w:ind w:left="375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rights, powers, privileges, authorities,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obligations, duties and interests;</w:t>
      </w:r>
    </w:p>
    <w:p>
      <w:pPr>
        <w:autoSpaceDN w:val="0"/>
        <w:tabs>
          <w:tab w:pos="4240" w:val="left"/>
        </w:tabs>
        <w:autoSpaceDE w:val="0"/>
        <w:widowControl/>
        <w:spacing w:line="238" w:lineRule="auto" w:before="264" w:after="0"/>
        <w:ind w:left="37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books, accounts and documents,</w:t>
      </w:r>
    </w:p>
    <w:p>
      <w:pPr>
        <w:autoSpaceDN w:val="0"/>
        <w:autoSpaceDE w:val="0"/>
        <w:widowControl/>
        <w:spacing w:line="254" w:lineRule="auto" w:before="264" w:after="0"/>
        <w:ind w:left="3520" w:right="14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such Underperforming Enterprises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Underutilized Assets, subsisting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date of commencement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shall be deemed to be the property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movable or immovable, liabilities, rights,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privileges, authorities, obligations, duties,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books, accounts and documents of the person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it had been conferred or vested under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the provisions of the repealed Act, as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Act;</w:t>
      </w:r>
    </w:p>
    <w:p>
      <w:pPr>
        <w:autoSpaceDN w:val="0"/>
        <w:tabs>
          <w:tab w:pos="3520" w:val="left"/>
        </w:tabs>
        <w:autoSpaceDE w:val="0"/>
        <w:widowControl/>
        <w:spacing w:line="252" w:lineRule="auto" w:before="264" w:after="0"/>
        <w:ind w:left="312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claim or inquiry initiated under the repealed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for compensation or an award made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compensation, pending settlement on the day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932" w:space="0"/>
            <w:col w:w="3087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46" w:val="left"/>
        </w:tabs>
        <w:autoSpaceDE w:val="0"/>
        <w:widowControl/>
        <w:spacing w:line="226" w:lineRule="exact" w:before="0" w:after="0"/>
        <w:ind w:left="211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Revival of Underperforming Enterprises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2" w:after="0"/>
        <w:ind w:left="18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 Act, No. 12 of 2019</w:t>
      </w:r>
    </w:p>
    <w:p>
      <w:pPr>
        <w:autoSpaceDN w:val="0"/>
        <w:autoSpaceDE w:val="0"/>
        <w:widowControl/>
        <w:spacing w:line="238" w:lineRule="auto" w:before="262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prior to the date of commencement of</w:t>
      </w:r>
    </w:p>
    <w:p>
      <w:pPr>
        <w:autoSpaceDN w:val="0"/>
        <w:autoSpaceDE w:val="0"/>
        <w:widowControl/>
        <w:spacing w:line="238" w:lineRule="auto" w:before="24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this Act shall be carried on and completed as if there</w:t>
      </w:r>
    </w:p>
    <w:p>
      <w:pPr>
        <w:autoSpaceDN w:val="0"/>
        <w:autoSpaceDE w:val="0"/>
        <w:widowControl/>
        <w:spacing w:line="235" w:lineRule="auto" w:before="28" w:after="222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had been no such repeal.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 inconsistency.</w:t>
            </w:r>
          </w:p>
        </w:tc>
      </w:tr>
      <w:tr>
        <w:trPr>
          <w:trHeight w:hRule="exact" w:val="3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932" w:space="0"/>
            <w:col w:w="3087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4"/>
        <w:ind w:left="0" w:right="0"/>
      </w:pPr>
    </w:p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6"/>
        </w:trPr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Revival of Underperforming Enterprises 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18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 Act, No. 12 of 2019</w:t>
      </w:r>
    </w:p>
    <w:p>
      <w:pPr>
        <w:autoSpaceDN w:val="0"/>
        <w:autoSpaceDE w:val="0"/>
        <w:widowControl/>
        <w:spacing w:line="245" w:lineRule="auto" w:before="8704" w:after="0"/>
        <w:ind w:left="1296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5932" w:space="0"/>
        <w:col w:w="3087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