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MERCHANT  SHIPPING  (AMENDMENT)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17  OF  2019</w:t>
      </w:r>
    </w:p>
    <w:p>
      <w:pPr>
        <w:autoSpaceDN w:val="0"/>
        <w:autoSpaceDE w:val="0"/>
        <w:widowControl/>
        <w:spacing w:line="235" w:lineRule="auto" w:before="926" w:after="0"/>
        <w:ind w:left="0" w:right="29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02nd of  October, 2019]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04,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20.00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6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35" w:lineRule="auto" w:before="254" w:after="0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02nd of October, 2019]</w:t>
      </w:r>
    </w:p>
    <w:p>
      <w:pPr>
        <w:autoSpaceDN w:val="0"/>
        <w:autoSpaceDE w:val="0"/>
        <w:widowControl/>
        <w:spacing w:line="235" w:lineRule="auto" w:before="24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221F1F"/>
          <w:sz w:val="20"/>
        </w:rPr>
        <w:t>O 31/2015</w:t>
      </w:r>
    </w:p>
    <w:p>
      <w:pPr>
        <w:autoSpaceDN w:val="0"/>
        <w:autoSpaceDE w:val="0"/>
        <w:widowControl/>
        <w:spacing w:line="245" w:lineRule="auto" w:before="242" w:after="0"/>
        <w:ind w:left="2304" w:right="360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ERCHANT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HIPPING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1971</w:t>
      </w:r>
    </w:p>
    <w:p>
      <w:pPr>
        <w:autoSpaceDN w:val="0"/>
        <w:autoSpaceDE w:val="0"/>
        <w:widowControl/>
        <w:spacing w:line="245" w:lineRule="auto" w:before="240" w:after="182"/>
        <w:ind w:left="1456" w:right="2736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Merchant Shipping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17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138 of the Merchant Shipping Act, No. 52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Act, No. 52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1971.</w:t>
            </w:r>
          </w:p>
        </w:tc>
      </w:tr>
      <w:tr>
        <w:trPr>
          <w:trHeight w:hRule="exact" w:val="580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1971 (hereinafter referred to as the “principal enactment”)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amended as follows:-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“certificate”,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definitions:–</w:t>
      </w:r>
    </w:p>
    <w:p>
      <w:pPr>
        <w:autoSpaceDN w:val="0"/>
        <w:autoSpaceDE w:val="0"/>
        <w:widowControl/>
        <w:spacing w:line="245" w:lineRule="auto" w:before="240" w:after="0"/>
        <w:ind w:left="2956" w:right="280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““certificate” means, unless the context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the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as may be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143(1)(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144(1)(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144(2)(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144(2)(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as the case may be;</w:t>
      </w:r>
    </w:p>
    <w:p>
      <w:pPr>
        <w:autoSpaceDN w:val="0"/>
        <w:tabs>
          <w:tab w:pos="2956" w:val="left"/>
        </w:tabs>
        <w:autoSpaceDE w:val="0"/>
        <w:widowControl/>
        <w:spacing w:line="245" w:lineRule="auto" w:before="242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“Code” means, an instrument made mandatory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Convention;”; 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45" w:lineRule="auto" w:before="240" w:after="0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“Convention”, and the substitution therefor,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definition:-</w:t>
      </w:r>
    </w:p>
    <w:p>
      <w:pPr>
        <w:autoSpaceDN w:val="0"/>
        <w:autoSpaceDE w:val="0"/>
        <w:widowControl/>
        <w:spacing w:line="245" w:lineRule="auto" w:before="240" w:after="0"/>
        <w:ind w:left="2956" w:right="280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““Convention” means, the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Safety of Life at Sea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1974, Protocol of 1988 as amended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 and any subsequent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 made to such Protocol;”;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57" w:lineRule="auto" w:before="260" w:after="0"/>
        <w:ind w:left="30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“country to which the Convention applies”,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54" w:lineRule="auto" w:before="276" w:after="0"/>
        <w:ind w:left="4264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 “country to which the Convention applies”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 country which is a contracting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to the Convention;”; 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54" w:lineRule="auto" w:before="276" w:after="0"/>
        <w:ind w:left="30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“international voyage”, and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 of the following new definition:–</w:t>
      </w:r>
    </w:p>
    <w:p>
      <w:pPr>
        <w:autoSpaceDN w:val="0"/>
        <w:autoSpaceDE w:val="0"/>
        <w:widowControl/>
        <w:spacing w:line="238" w:lineRule="auto" w:before="27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“international voyage” means, a voyage between-</w:t>
      </w:r>
    </w:p>
    <w:p>
      <w:pPr>
        <w:autoSpaceDN w:val="0"/>
        <w:tabs>
          <w:tab w:pos="4264" w:val="left"/>
        </w:tabs>
        <w:autoSpaceDE w:val="0"/>
        <w:widowControl/>
        <w:spacing w:line="250" w:lineRule="auto" w:before="276" w:after="0"/>
        <w:ind w:left="39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Sri Lanka and a port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 outside Sri Lanka; or</w:t>
      </w:r>
    </w:p>
    <w:p>
      <w:pPr>
        <w:autoSpaceDN w:val="0"/>
        <w:autoSpaceDE w:val="0"/>
        <w:widowControl/>
        <w:spacing w:line="257" w:lineRule="auto" w:before="276" w:after="216"/>
        <w:ind w:left="4264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a country to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applies (other than Sri Lanka)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port or place in any other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territory which is outside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139 of the principal enactment is hereby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following:–</w:t>
      </w:r>
    </w:p>
    <w:p>
      <w:pPr>
        <w:autoSpaceDN w:val="0"/>
        <w:autoSpaceDE w:val="0"/>
        <w:widowControl/>
        <w:spacing w:line="259" w:lineRule="auto" w:before="276" w:after="0"/>
        <w:ind w:left="3604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Minister may make such regulations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 considers necessary or expedient to give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and for the better carrying out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and purposes of this Part and to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safety at sea and for carrying 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Convention, Codes, any Annexes thereto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amendments or replacements of such Convention,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Codes and Annexes and for ships which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118" w:val="left"/>
        </w:tabs>
        <w:autoSpaceDE w:val="0"/>
        <w:widowControl/>
        <w:spacing w:line="248" w:lineRule="exact" w:before="0" w:after="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52" w:lineRule="auto" w:before="258" w:after="0"/>
        <w:ind w:left="229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does not apply and without prejudice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generality of such powers, may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making provision for-</w:t>
      </w:r>
    </w:p>
    <w:p>
      <w:pPr>
        <w:autoSpaceDN w:val="0"/>
        <w:tabs>
          <w:tab w:pos="2896" w:val="left"/>
        </w:tabs>
        <w:autoSpaceDE w:val="0"/>
        <w:widowControl/>
        <w:spacing w:line="254" w:lineRule="auto" w:before="268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and survey of ships, surveys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life-saving appliances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of ships, surveys of  radio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installation of ships, surveys of structure,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equipment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installations of ships;</w:t>
      </w:r>
    </w:p>
    <w:p>
      <w:pPr>
        <w:autoSpaceDN w:val="0"/>
        <w:tabs>
          <w:tab w:pos="2896" w:val="left"/>
        </w:tabs>
        <w:autoSpaceDE w:val="0"/>
        <w:widowControl/>
        <w:spacing w:line="238" w:lineRule="auto" w:before="268" w:after="0"/>
        <w:ind w:left="24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of condition after survey;</w:t>
      </w:r>
    </w:p>
    <w:p>
      <w:pPr>
        <w:autoSpaceDN w:val="0"/>
        <w:tabs>
          <w:tab w:pos="2896" w:val="left"/>
        </w:tabs>
        <w:autoSpaceDE w:val="0"/>
        <w:widowControl/>
        <w:spacing w:line="252" w:lineRule="auto" w:before="268" w:after="0"/>
        <w:ind w:left="250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or endorsement of certificates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availability, acceptance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qualification;</w:t>
      </w:r>
    </w:p>
    <w:p>
      <w:pPr>
        <w:autoSpaceDN w:val="0"/>
        <w:tabs>
          <w:tab w:pos="2896" w:val="left"/>
        </w:tabs>
        <w:autoSpaceDE w:val="0"/>
        <w:widowControl/>
        <w:spacing w:line="250" w:lineRule="auto" w:before="266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forms of certificates and records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equipment;</w:t>
      </w:r>
    </w:p>
    <w:p>
      <w:pPr>
        <w:autoSpaceDN w:val="0"/>
        <w:tabs>
          <w:tab w:pos="2896" w:val="left"/>
        </w:tabs>
        <w:autoSpaceDE w:val="0"/>
        <w:widowControl/>
        <w:spacing w:line="252" w:lineRule="auto" w:before="266" w:after="0"/>
        <w:ind w:left="250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duration and validity of certificates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Sri Lanka or issued by countries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Convention applies;</w:t>
      </w:r>
    </w:p>
    <w:p>
      <w:pPr>
        <w:autoSpaceDN w:val="0"/>
        <w:tabs>
          <w:tab w:pos="2896" w:val="left"/>
        </w:tabs>
        <w:autoSpaceDE w:val="0"/>
        <w:widowControl/>
        <w:spacing w:line="247" w:lineRule="auto" w:before="270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ships when in a port or place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896" w:val="left"/>
        </w:tabs>
        <w:autoSpaceDE w:val="0"/>
        <w:widowControl/>
        <w:spacing w:line="247" w:lineRule="auto" w:before="270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 investigation of marine casualties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marine incidents;</w:t>
      </w:r>
    </w:p>
    <w:p>
      <w:pPr>
        <w:autoSpaceDN w:val="0"/>
        <w:tabs>
          <w:tab w:pos="2896" w:val="left"/>
        </w:tabs>
        <w:autoSpaceDE w:val="0"/>
        <w:widowControl/>
        <w:spacing w:line="257" w:lineRule="auto" w:before="270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construction-structure, subdivision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stability of ships, their equipment,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 and electrical installations, fire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protection, fire detection and fire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extinction in passenger and cargo ships,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fire precautions to be taken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ships and special fire safety measures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passenger ships;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35" w:lineRule="auto" w:before="2" w:after="0"/>
        <w:ind w:left="0" w:right="29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272" w:after="0"/>
        <w:ind w:left="38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life-saving appliances and arrangements;</w:t>
      </w:r>
    </w:p>
    <w:p>
      <w:pPr>
        <w:autoSpaceDN w:val="0"/>
        <w:tabs>
          <w:tab w:pos="4222" w:val="left"/>
        </w:tabs>
        <w:autoSpaceDE w:val="0"/>
        <w:widowControl/>
        <w:spacing w:line="235" w:lineRule="auto" w:before="308" w:after="0"/>
        <w:ind w:left="38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radio communications;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08" w:after="0"/>
        <w:ind w:left="38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safety of navigation;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10" w:after="0"/>
        <w:ind w:left="38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carriage of cargoes and oil fuels;</w:t>
      </w:r>
    </w:p>
    <w:p>
      <w:pPr>
        <w:autoSpaceDN w:val="0"/>
        <w:tabs>
          <w:tab w:pos="4222" w:val="left"/>
        </w:tabs>
        <w:autoSpaceDE w:val="0"/>
        <w:widowControl/>
        <w:spacing w:line="235" w:lineRule="auto" w:before="308" w:after="0"/>
        <w:ind w:left="3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carriage of dangerous goods;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08" w:after="0"/>
        <w:ind w:left="3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nuclear ships;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10" w:after="0"/>
        <w:ind w:left="3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safe operation of ships;</w:t>
      </w:r>
    </w:p>
    <w:p>
      <w:pPr>
        <w:autoSpaceDN w:val="0"/>
        <w:tabs>
          <w:tab w:pos="4222" w:val="left"/>
        </w:tabs>
        <w:autoSpaceDE w:val="0"/>
        <w:widowControl/>
        <w:spacing w:line="235" w:lineRule="auto" w:before="308" w:after="0"/>
        <w:ind w:left="3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safety measures for high-speed craft;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08" w:after="0"/>
        <w:ind w:left="3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measures to enhance maritime</w:t>
      </w:r>
    </w:p>
    <w:p>
      <w:pPr>
        <w:autoSpaceDN w:val="0"/>
        <w:autoSpaceDE w:val="0"/>
        <w:widowControl/>
        <w:spacing w:line="235" w:lineRule="auto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safety;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08" w:after="0"/>
        <w:ind w:left="38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measures to enhance maritime</w:t>
      </w:r>
    </w:p>
    <w:p>
      <w:pPr>
        <w:autoSpaceDN w:val="0"/>
        <w:autoSpaceDE w:val="0"/>
        <w:widowControl/>
        <w:spacing w:line="235" w:lineRule="auto" w:before="42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security;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08" w:after="0"/>
        <w:ind w:left="38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safety measures for bulk carriers;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10" w:after="0"/>
        <w:ind w:left="38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safety measures for ships operating in Polar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waters;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10" w:after="0"/>
        <w:ind w:left="38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other matters as are to be prescribed</w:t>
      </w:r>
    </w:p>
    <w:p>
      <w:pPr>
        <w:autoSpaceDN w:val="0"/>
        <w:autoSpaceDE w:val="0"/>
        <w:widowControl/>
        <w:spacing w:line="238" w:lineRule="auto" w:before="38" w:after="0"/>
        <w:ind w:left="0" w:right="3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part;</w:t>
      </w:r>
    </w:p>
    <w:p>
      <w:pPr>
        <w:autoSpaceDN w:val="0"/>
        <w:tabs>
          <w:tab w:pos="4222" w:val="left"/>
        </w:tabs>
        <w:autoSpaceDE w:val="0"/>
        <w:widowControl/>
        <w:spacing w:line="238" w:lineRule="auto" w:before="310" w:after="0"/>
        <w:ind w:left="3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matters generally giving effect</w:t>
      </w:r>
    </w:p>
    <w:p>
      <w:pPr>
        <w:autoSpaceDN w:val="0"/>
        <w:autoSpaceDE w:val="0"/>
        <w:widowControl/>
        <w:spacing w:line="238" w:lineRule="auto" w:before="3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provisions of the Convention,</w:t>
      </w:r>
    </w:p>
    <w:p>
      <w:pPr>
        <w:autoSpaceDN w:val="0"/>
        <w:autoSpaceDE w:val="0"/>
        <w:widowControl/>
        <w:spacing w:line="235" w:lineRule="auto" w:before="42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Codes, any Annex thereto and any</w:t>
      </w:r>
    </w:p>
    <w:p>
      <w:pPr>
        <w:autoSpaceDN w:val="0"/>
        <w:autoSpaceDE w:val="0"/>
        <w:widowControl/>
        <w:spacing w:line="238" w:lineRule="auto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amendments of such Convention, Codes</w:t>
      </w:r>
    </w:p>
    <w:p>
      <w:pPr>
        <w:autoSpaceDN w:val="0"/>
        <w:autoSpaceDE w:val="0"/>
        <w:widowControl/>
        <w:spacing w:line="238" w:lineRule="auto" w:before="38" w:after="0"/>
        <w:ind w:left="0" w:right="3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Annexes.”.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118" w:val="left"/>
        </w:tabs>
        <w:autoSpaceDE w:val="0"/>
        <w:widowControl/>
        <w:spacing w:line="248" w:lineRule="exact" w:before="0" w:after="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45" w:lineRule="auto" w:before="254" w:after="174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“fine not exceeding one thousand rupees.”,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“a fine not exceeding five million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143 of the principal enactment is hereby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:–</w:t>
      </w:r>
    </w:p>
    <w:p>
      <w:pPr>
        <w:autoSpaceDN w:val="0"/>
        <w:autoSpaceDE w:val="0"/>
        <w:widowControl/>
        <w:spacing w:line="245" w:lineRule="auto" w:before="240" w:after="0"/>
        <w:ind w:left="2176" w:right="274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passenger ship shall not go to sea 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voyage to or from any port or place in Sri Lanka,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Sri Lanka passenger ship shall not perform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voyage, unless there are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 certificates prescribed by regulations.</w:t>
      </w:r>
    </w:p>
    <w:p>
      <w:pPr>
        <w:autoSpaceDN w:val="0"/>
        <w:autoSpaceDE w:val="0"/>
        <w:widowControl/>
        <w:spacing w:line="245" w:lineRule="auto" w:before="240" w:after="0"/>
        <w:ind w:left="2176" w:right="274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passenger ship shall not perform a voyage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one port or place in Sri Lanka to another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or place in Sri Lanka, unless there are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certificates as may be prescribed by regulations.”;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180"/>
        <w:ind w:left="177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two hundred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rupees”, of the words “a fine not exceeding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144 of the principal enactment is hereby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9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(1) and (2) thereof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following:–</w:t>
      </w:r>
    </w:p>
    <w:p>
      <w:pPr>
        <w:autoSpaceDN w:val="0"/>
        <w:autoSpaceDE w:val="0"/>
        <w:widowControl/>
        <w:spacing w:line="245" w:lineRule="auto" w:before="240" w:after="0"/>
        <w:ind w:left="2176" w:right="274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shall not go to sea on a voyage to or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port or place in Sri Lanka, or a Sri Lanka cargo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 which the Convention applies shall not perform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international voyage, unless there are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certificates as may be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64" w:lineRule="auto" w:before="266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of five hundred tons gross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shall not perform a voyage from one port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Sri Lanka to another such port or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unless there are in force certificates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regulations.</w:t>
      </w:r>
    </w:p>
    <w:p>
      <w:pPr>
        <w:autoSpaceDN w:val="0"/>
        <w:autoSpaceDE w:val="0"/>
        <w:widowControl/>
        <w:spacing w:line="269" w:lineRule="auto" w:before="292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apply shall not go to sea on a voyage to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port or place in Sri Lanka, or a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cargo ship which the Convention does not apply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perform an international voyage, unless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are in force valid certificates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and in the case of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ships, such equivalent certificates as are acceptable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Director -General of Merchant Shipping.</w:t>
      </w:r>
    </w:p>
    <w:p>
      <w:pPr>
        <w:autoSpaceDN w:val="0"/>
        <w:autoSpaceDE w:val="0"/>
        <w:widowControl/>
        <w:spacing w:line="264" w:lineRule="auto" w:before="292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of less than five hundred tons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gross shall not perform a voyage from one port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Sri Lanka to another such port or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unless there are in force certificates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regulations.”;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290" w:after="234"/>
        <w:ind w:left="309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rupees.”, of the words “a fine not exceeding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54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152 of the principal enactment is hereby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0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“a fine not exceeding five hundred rupees.”,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three million rupees.”.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155 of the principal enactment is hereby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 “a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thousand rupees,”, of the words “a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ten million rupees,”.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118" w:val="left"/>
        </w:tabs>
        <w:autoSpaceDE w:val="0"/>
        <w:widowControl/>
        <w:spacing w:line="248" w:lineRule="exact" w:before="0" w:after="21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156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3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 “a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thousand rupees,”, of the words “a fine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22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ten million rupees,”.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157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1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7" w:lineRule="auto" w:before="64" w:after="0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subsections (1) and (2) thereof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following:-</w:t>
      </w:r>
    </w:p>
    <w:p>
      <w:pPr>
        <w:autoSpaceDN w:val="0"/>
        <w:autoSpaceDE w:val="0"/>
        <w:widowControl/>
        <w:spacing w:line="269" w:lineRule="auto" w:before="306" w:after="0"/>
        <w:ind w:left="2176" w:right="2764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Every ship shall be supplied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as prescribed by regulations as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accurate guidance as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of the ship under varying conditions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service.</w:t>
      </w:r>
    </w:p>
    <w:p>
      <w:pPr>
        <w:autoSpaceDN w:val="0"/>
        <w:tabs>
          <w:tab w:pos="2476" w:val="left"/>
        </w:tabs>
        <w:autoSpaceDE w:val="0"/>
        <w:widowControl/>
        <w:spacing w:line="257" w:lineRule="auto" w:before="306" w:after="0"/>
        <w:ind w:left="217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information required by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in such form as may be prescribed.”;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9" w:lineRule="auto" w:before="302" w:after="246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subsection (4)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rupees.”, of the words “a fine not exceeding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158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54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46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“a fine not exceeding one 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159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  <w:tr>
        <w:trPr>
          <w:trHeight w:hRule="exact" w:val="54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definitions of the expressions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certificate”, “Convention of 1966”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country”,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new definitions:—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7" w:lineRule="auto" w:before="254" w:after="0"/>
        <w:ind w:left="36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““Convention” means, the International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Load Lines, 1966 as modified by the Protocol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and any subsequent amendment made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Protocol;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54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certificate” means, a certificate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Convention;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54" w:after="194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country” means, a country which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contracting Government to the Convention;”.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160 of the principal enactment is hereby</w:t>
            </w:r>
          </w:p>
        </w:tc>
      </w:tr>
      <w:tr>
        <w:trPr>
          <w:trHeight w:hRule="exact" w:val="62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0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</w:tr>
    </w:tbl>
    <w:p>
      <w:pPr>
        <w:autoSpaceDN w:val="0"/>
        <w:autoSpaceDE w:val="0"/>
        <w:widowControl/>
        <w:spacing w:line="235" w:lineRule="auto" w:before="118" w:after="194"/>
        <w:ind w:left="0" w:right="1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new ships of less than 24 metres in length;”.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161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  of the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161 and 162 of the principal enactment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repealed and the following substituted therefor:-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“Definition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161. In this part, “international voyage”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a voyage between-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“international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voyage”.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port or place in Sri Lanka and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port or place outside Sri Lanka; or</w:t>
      </w:r>
    </w:p>
    <w:p>
      <w:pPr>
        <w:autoSpaceDN w:val="0"/>
        <w:tabs>
          <w:tab w:pos="4702" w:val="left"/>
        </w:tabs>
        <w:autoSpaceDE w:val="0"/>
        <w:widowControl/>
        <w:spacing w:line="247" w:lineRule="auto" w:before="25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port or place in a country to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Convention applies (other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Lanka) and a port or place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 or territory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Lanka: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in determining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ports between which a voyage is made no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shall be taken of any deviation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 from her intended voyage which is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solely to such stress of weather or such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circumstance that neither the master nor owner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118" w:val="left"/>
        </w:tabs>
        <w:autoSpaceDE w:val="0"/>
        <w:widowControl/>
        <w:spacing w:line="248" w:lineRule="exact" w:before="0" w:after="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5" w:lineRule="auto" w:before="254" w:after="194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nor the charterers (if any) of the ship could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have prevented or forestalled.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Definition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“new ship”.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162. In this part, “new ship” means, a 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keel of which is laid, or which is at a similar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stage of construction, on or after–</w:t>
      </w:r>
    </w:p>
    <w:p>
      <w:pPr>
        <w:autoSpaceDN w:val="0"/>
        <w:tabs>
          <w:tab w:pos="3376" w:val="left"/>
        </w:tabs>
        <w:autoSpaceDE w:val="0"/>
        <w:widowControl/>
        <w:spacing w:line="247" w:lineRule="auto" w:before="254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ship registered 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flying the flag of a country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Convention country (other than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Lanka), the date from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Convention has entered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force; and </w:t>
      </w:r>
    </w:p>
    <w:p>
      <w:pPr>
        <w:autoSpaceDN w:val="0"/>
        <w:tabs>
          <w:tab w:pos="3376" w:val="left"/>
        </w:tabs>
        <w:autoSpaceDE w:val="0"/>
        <w:widowControl/>
        <w:spacing w:line="245" w:lineRule="auto" w:before="254" w:after="194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any other ship, the 25th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 of January, 1972.”.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164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6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“Convention of 1966,”, of the word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“Convention,”.</w:t>
      </w:r>
    </w:p>
    <w:p>
      <w:pPr>
        <w:autoSpaceDN w:val="0"/>
        <w:tabs>
          <w:tab w:pos="2656" w:val="left"/>
        </w:tabs>
        <w:autoSpaceDE w:val="0"/>
        <w:widowControl/>
        <w:spacing w:line="245" w:lineRule="auto" w:before="254" w:after="0"/>
        <w:ind w:left="22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),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3376" w:val="left"/>
        </w:tabs>
        <w:autoSpaceDE w:val="0"/>
        <w:widowControl/>
        <w:spacing w:line="245" w:lineRule="auto" w:before="254" w:after="0"/>
        <w:ind w:left="28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ships when in a port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3376" w:val="left"/>
        </w:tabs>
        <w:autoSpaceDE w:val="0"/>
        <w:widowControl/>
        <w:spacing w:line="245" w:lineRule="auto" w:before="254" w:after="0"/>
        <w:ind w:left="30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 investigation of marine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casualties and marine incidents;</w:t>
      </w:r>
    </w:p>
    <w:p>
      <w:pPr>
        <w:autoSpaceDN w:val="0"/>
        <w:tabs>
          <w:tab w:pos="3376" w:val="left"/>
        </w:tabs>
        <w:autoSpaceDE w:val="0"/>
        <w:widowControl/>
        <w:spacing w:line="235" w:lineRule="auto" w:before="254" w:after="0"/>
        <w:ind w:left="3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forms of certificates;</w:t>
      </w:r>
    </w:p>
    <w:p>
      <w:pPr>
        <w:autoSpaceDN w:val="0"/>
        <w:tabs>
          <w:tab w:pos="3376" w:val="left"/>
        </w:tabs>
        <w:autoSpaceDE w:val="0"/>
        <w:widowControl/>
        <w:spacing w:line="235" w:lineRule="auto" w:before="256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verification of compliance;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4702" w:val="left"/>
        </w:tabs>
        <w:autoSpaceDE w:val="0"/>
        <w:widowControl/>
        <w:spacing w:line="238" w:lineRule="auto" w:before="260" w:after="0"/>
        <w:ind w:left="4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zones, areas and seasonal periods;</w:t>
      </w:r>
    </w:p>
    <w:p>
      <w:pPr>
        <w:autoSpaceDN w:val="0"/>
        <w:tabs>
          <w:tab w:pos="4704" w:val="left"/>
        </w:tabs>
        <w:autoSpaceDE w:val="0"/>
        <w:widowControl/>
        <w:spacing w:line="238" w:lineRule="auto" w:before="242" w:after="0"/>
        <w:ind w:left="42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repairs, alterations and modification;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38" w:after="178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condition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survey;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validity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the Convention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Governments, 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Lanka;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36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matters as are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under this Part; and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36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matters generally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effect to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and any amendments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Convention.”.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36" w:after="178"/>
        <w:ind w:left="30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rupees.”, of the words “a fine not exceeding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3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166 of the principal enactment is hereby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“a fine not exceeding two hundred rupees.”,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million rupees.”.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167 of the principal enactment is hereby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“a fine not exceeding five hundred rupees,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fine (not exceeding ten rupees for each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centimeter by which the load line is submerged) as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fit to impose.”, of the words “a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million rupees, and to an additional fine (not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for each centimeter by which </w:t>
      </w:r>
      <w:r>
        <w:rPr>
          <w:rFonts w:ascii="Times" w:hAnsi="Times" w:eastAsia="Times"/>
          <w:b w:val="0"/>
          <w:i w:val="0"/>
          <w:color w:val="221F1F"/>
          <w:sz w:val="20"/>
        </w:rPr>
        <w:t>the load line is submerged) as the court may think fit to</w:t>
      </w:r>
    </w:p>
    <w:p>
      <w:pPr>
        <w:autoSpaceDN w:val="0"/>
        <w:autoSpaceDE w:val="0"/>
        <w:widowControl/>
        <w:spacing w:line="235" w:lineRule="auto" w:before="52" w:after="0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impose.”.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016" w:val="left"/>
        </w:tabs>
        <w:autoSpaceDE w:val="0"/>
        <w:widowControl/>
        <w:spacing w:line="248" w:lineRule="exact" w:before="0" w:after="20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168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4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 “a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two hundred rupees.”, of the words “a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thereof,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and figures “International Load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 Certificate (1966);”, of the words “International Load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Line Certificate;”.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171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50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4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50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5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9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(3)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“a fine not exceeding two hundred rupees.”,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hundred thousand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172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fifty rupees.”,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 fine not exceeding fifty thousand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and figures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“International Load Line Certificate (1966);”,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“International Load Line Certificate;”.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(3)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“a fine not exceeding two hundred rupees.”,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hundred thousand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“fine not exceeding five hundred rupees,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fine (not exceeding ten rupees for each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 centimeter whereby the load line is submerged)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 think fit to impose.”, of the words “fine not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5" w:lineRule="auto" w:before="246" w:after="17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million rupees, and to an additional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(not exceeding one hundred thousand rupees for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 centimeter whereby the load line is submerged)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 think fit to impose.”.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205 of the principal enactment is hereby</w:t>
            </w:r>
          </w:p>
        </w:tc>
      </w:tr>
      <w:tr>
        <w:trPr>
          <w:trHeight w:hRule="exact" w:val="6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353" w:lineRule="auto" w:before="12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port in Sri Lanka”, of the words “any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port or place in Sri Lanka”;</w:t>
      </w:r>
    </w:p>
    <w:p>
      <w:pPr>
        <w:autoSpaceDN w:val="0"/>
        <w:autoSpaceDE w:val="0"/>
        <w:widowControl/>
        <w:spacing w:line="245" w:lineRule="auto" w:before="224" w:after="0"/>
        <w:ind w:left="350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port in Sri Lanka”, of the words “any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or place in Sri Lanka”; and </w:t>
      </w:r>
    </w:p>
    <w:p>
      <w:pPr>
        <w:autoSpaceDN w:val="0"/>
        <w:autoSpaceDE w:val="0"/>
        <w:widowControl/>
        <w:spacing w:line="245" w:lineRule="auto" w:before="224" w:after="174"/>
        <w:ind w:left="350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subsection (4)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fine not exceeding three thousand ”,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words “a fine not exceeding five million”.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207 of the principal enactment is hereby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</w:tr>
    </w:tbl>
    <w:p>
      <w:pPr>
        <w:autoSpaceDN w:val="0"/>
        <w:autoSpaceDE w:val="0"/>
        <w:widowControl/>
        <w:spacing w:line="245" w:lineRule="auto" w:before="92" w:after="174"/>
        <w:ind w:left="338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Where any ship, being in any port or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is found to be an unsafe ship,  is, by reason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defective condition of such ship’s hull,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machinery, under manning, overloading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improper loading or any other condition that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consistent with the Conventions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in this Act, unfit to proceed to sea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serious damage to human life having regard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 of the service for which such ship is intended,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ship may be provisionally detained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being surveyed or rectifying the defective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and either finally detained or released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208.”.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VIIA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Part is hereby inserted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PART  VII of the principal enactment,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PART VIIA of that enactment 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59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2" w:after="0"/>
        <w:ind w:left="0" w:right="426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38" w:lineRule="auto" w:before="236" w:after="0"/>
        <w:ind w:left="0" w:right="46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“PART  VII A</w:t>
      </w:r>
    </w:p>
    <w:p>
      <w:pPr>
        <w:autoSpaceDN w:val="0"/>
        <w:autoSpaceDE w:val="0"/>
        <w:widowControl/>
        <w:spacing w:line="238" w:lineRule="auto" w:before="122" w:after="0"/>
        <w:ind w:left="0" w:right="3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OLLUTION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HIPS</w:t>
      </w:r>
    </w:p>
    <w:p>
      <w:pPr>
        <w:autoSpaceDN w:val="0"/>
        <w:autoSpaceDE w:val="0"/>
        <w:widowControl/>
        <w:spacing w:line="235" w:lineRule="auto" w:before="124" w:after="0"/>
        <w:ind w:left="0" w:right="4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124" w:after="62"/>
        <w:ind w:left="0" w:right="44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PRELIMINARY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9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5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90" w:lineRule="auto" w:before="40" w:after="0"/>
              <w:ind w:left="1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In this Part–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“certificate” means a certificate issued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5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Convention;</w:t>
            </w:r>
          </w:p>
        </w:tc>
      </w:tr>
    </w:tbl>
    <w:p>
      <w:pPr>
        <w:autoSpaceDN w:val="0"/>
        <w:autoSpaceDE w:val="0"/>
        <w:widowControl/>
        <w:spacing w:line="245" w:lineRule="auto" w:before="50" w:after="0"/>
        <w:ind w:left="349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“Convention” means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Prevention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Pollution from Ships, 1973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modified by the Protocol of 1978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Protocol of 1997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amendment made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Protocols;</w:t>
      </w:r>
    </w:p>
    <w:p>
      <w:pPr>
        <w:autoSpaceDN w:val="0"/>
        <w:autoSpaceDE w:val="0"/>
        <w:widowControl/>
        <w:spacing w:line="245" w:lineRule="auto" w:before="104" w:after="0"/>
        <w:ind w:left="349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“country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applies” means a country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contracting Government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Convention;</w:t>
      </w:r>
    </w:p>
    <w:p>
      <w:pPr>
        <w:autoSpaceDN w:val="0"/>
        <w:tabs>
          <w:tab w:pos="3496" w:val="left"/>
        </w:tabs>
        <w:autoSpaceDE w:val="0"/>
        <w:widowControl/>
        <w:spacing w:line="245" w:lineRule="auto" w:before="104" w:after="0"/>
        <w:ind w:left="31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“International voyage” means a voyage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between–</w:t>
      </w:r>
    </w:p>
    <w:p>
      <w:pPr>
        <w:autoSpaceDN w:val="0"/>
        <w:tabs>
          <w:tab w:pos="4096" w:val="left"/>
          <w:tab w:pos="4128" w:val="left"/>
        </w:tabs>
        <w:autoSpaceDE w:val="0"/>
        <w:widowControl/>
        <w:spacing w:line="245" w:lineRule="auto" w:before="104" w:after="0"/>
        <w:ind w:left="3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port or place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port or place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 or</w:t>
      </w:r>
    </w:p>
    <w:p>
      <w:pPr>
        <w:autoSpaceDN w:val="0"/>
        <w:tabs>
          <w:tab w:pos="4096" w:val="left"/>
          <w:tab w:pos="4128" w:val="left"/>
          <w:tab w:pos="5034" w:val="left"/>
          <w:tab w:pos="5870" w:val="left"/>
        </w:tabs>
        <w:autoSpaceDE w:val="0"/>
        <w:widowControl/>
        <w:spacing w:line="245" w:lineRule="auto" w:before="102" w:after="0"/>
        <w:ind w:left="3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port or place in a country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which the Convention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Lanka) and a port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any other country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territory which is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 and</w:t>
      </w:r>
    </w:p>
    <w:p>
      <w:pPr>
        <w:autoSpaceDN w:val="0"/>
        <w:tabs>
          <w:tab w:pos="3496" w:val="left"/>
          <w:tab w:pos="4912" w:val="left"/>
          <w:tab w:pos="5494" w:val="left"/>
        </w:tabs>
        <w:autoSpaceDE w:val="0"/>
        <w:widowControl/>
        <w:spacing w:line="245" w:lineRule="auto" w:before="104" w:after="0"/>
        <w:ind w:left="31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“ship” means a vessel of any type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operating in the marine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hydrofoil boats, air-cushion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vehicles, submersibles, floating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craft and fixed or floating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platforms.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3864" w:val="left"/>
          <w:tab w:pos="4102" w:val="left"/>
        </w:tabs>
        <w:autoSpaceDE w:val="0"/>
        <w:widowControl/>
        <w:spacing w:line="245" w:lineRule="auto" w:before="246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The Minister may make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of–</w:t>
      </w:r>
    </w:p>
    <w:p>
      <w:pPr>
        <w:autoSpaceDN w:val="0"/>
        <w:tabs>
          <w:tab w:pos="4642" w:val="left"/>
          <w:tab w:pos="4644" w:val="left"/>
        </w:tabs>
        <w:autoSpaceDE w:val="0"/>
        <w:widowControl/>
        <w:spacing w:line="245" w:lineRule="auto" w:before="102" w:after="0"/>
        <w:ind w:left="42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relating to the issuance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certificates and, recognition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certificates issued under the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country to which the Convention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applies; </w:t>
      </w:r>
    </w:p>
    <w:p>
      <w:pPr>
        <w:autoSpaceDN w:val="0"/>
        <w:tabs>
          <w:tab w:pos="4642" w:val="left"/>
        </w:tabs>
        <w:autoSpaceDE w:val="0"/>
        <w:widowControl/>
        <w:spacing w:line="245" w:lineRule="auto" w:before="102" w:after="0"/>
        <w:ind w:left="42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certificates to be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Part; and</w:t>
      </w:r>
    </w:p>
    <w:p>
      <w:pPr>
        <w:autoSpaceDN w:val="0"/>
        <w:tabs>
          <w:tab w:pos="4642" w:val="left"/>
        </w:tabs>
        <w:autoSpaceDE w:val="0"/>
        <w:widowControl/>
        <w:spacing w:line="245" w:lineRule="auto" w:before="100" w:after="0"/>
        <w:ind w:left="42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as are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under this Part.</w:t>
      </w:r>
    </w:p>
    <w:p>
      <w:pPr>
        <w:autoSpaceDN w:val="0"/>
        <w:autoSpaceDE w:val="0"/>
        <w:widowControl/>
        <w:spacing w:line="238" w:lineRule="auto" w:before="142" w:after="0"/>
        <w:ind w:left="0" w:right="3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104" w:after="82"/>
        <w:ind w:left="0" w:right="31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488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ships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sailing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certificate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ship shall not go to sea on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voyage to or from any port or place in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Sri Lanka ship shall not perform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voyage, unless there is in force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the ship a certificate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Part.</w:t>
            </w:r>
          </w:p>
        </w:tc>
      </w:tr>
    </w:tbl>
    <w:p>
      <w:pPr>
        <w:autoSpaceDN w:val="0"/>
        <w:autoSpaceDE w:val="0"/>
        <w:widowControl/>
        <w:spacing w:line="245" w:lineRule="auto" w:before="52" w:after="44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ship goes or attempts to go to sea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contravention of subsection (1),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master of the ship shall be guilty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on conviction thereof,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imprisonment for a term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year or to a fine not exceeding one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both such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978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Variation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certificate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In the event of any amendment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replacement of any 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Convention affecting the nature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referred to in subsection (1) of section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862" w:right="1436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215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Minister may by Order direct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subsection shall have effect as if there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substituted therefor references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certificate, appropriate to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so amended, as the Minister may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 prescribe.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038" w:val="left"/>
        </w:tabs>
        <w:autoSpaceDE w:val="0"/>
        <w:widowControl/>
        <w:spacing w:line="248" w:lineRule="exact" w:before="0" w:after="186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certificate.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master of every ship shall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relevant officer, at the time a clearance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ship is demanded for voyage,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referred to in subsection (1)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215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to be in force when the ship goes to sea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and, a clearance shall not be granted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 may be detained, until the said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so produced.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8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Survey,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examination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3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owner, the master or the agent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ship requiring the issue of a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of section 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apply for the ship to be surveyed,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or investigated by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the effect that the condition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and its equipment are in good order.</w:t>
      </w:r>
    </w:p>
    <w:p>
      <w:pPr>
        <w:autoSpaceDN w:val="0"/>
        <w:autoSpaceDE w:val="0"/>
        <w:widowControl/>
        <w:spacing w:line="245" w:lineRule="auto" w:before="104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relevant authority conducting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survey, examination or investigation shall,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satisfied that the condition of the ship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equipment are in good order, complete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survey, examination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in a form prescribed by regulation.</w:t>
      </w:r>
    </w:p>
    <w:p>
      <w:pPr>
        <w:autoSpaceDN w:val="0"/>
        <w:autoSpaceDE w:val="0"/>
        <w:widowControl/>
        <w:spacing w:line="245" w:lineRule="auto" w:before="234" w:after="52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declaration of survey, examination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investigation shall be sent forthwith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authority to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Merchant Shipping.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certificate.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Upon receipt of the declaration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survey, examination or investigation of a ship</w:t>
            </w:r>
          </w:p>
        </w:tc>
      </w:tr>
    </w:tbl>
    <w:p>
      <w:pPr>
        <w:autoSpaceDN w:val="0"/>
        <w:autoSpaceDE w:val="0"/>
        <w:widowControl/>
        <w:spacing w:line="245" w:lineRule="auto" w:before="0" w:after="5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shall, if satisfied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provisions of this Part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thereunder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complied with, issue such certificate to such 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2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Period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validity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certificate.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certificate shall not remain in force–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longer than such period as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in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8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or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5182" w:val="left"/>
          <w:tab w:pos="5184" w:val="left"/>
        </w:tabs>
        <w:autoSpaceDE w:val="0"/>
        <w:widowControl/>
        <w:spacing w:line="245" w:lineRule="auto" w:before="246" w:after="120"/>
        <w:ind w:left="47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notice has been given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owner, master or agent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 the certificate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force during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any suspension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such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060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suspension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certificate.</w:t>
            </w:r>
          </w:p>
        </w:tc>
        <w:tc>
          <w:tcPr>
            <w:tcW w:type="dxa" w:w="4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Director-General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may cancel or suspend a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any ship where he has reason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that–</w:t>
            </w:r>
          </w:p>
        </w:tc>
      </w:tr>
      <w:tr>
        <w:trPr>
          <w:trHeight w:hRule="exact" w:val="310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declaration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survey,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5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 or investigation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certificate was founded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made fraudulently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erroneously; 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180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certificate has been issued on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erroneous information; or 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184" w:after="0"/>
        <w:ind w:left="41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since the making of the declaration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survey, examination or investigation,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condition of the ship or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has sustained any damage,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otherwise insufficient. </w:t>
      </w:r>
    </w:p>
    <w:p>
      <w:pPr>
        <w:autoSpaceDN w:val="0"/>
        <w:autoSpaceDE w:val="0"/>
        <w:widowControl/>
        <w:spacing w:line="245" w:lineRule="auto" w:before="182" w:after="124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every such case,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may require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the ship again surveyed, examined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investigated and to obtain a further declaration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survey, examination or investigation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reissue of the certificate or the grant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fresh certificate in lieu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96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suspension. 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shall inform the owner, master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agent of the ship that the certificate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cancelled or suspended.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038" w:val="left"/>
        </w:tabs>
        <w:autoSpaceDE w:val="0"/>
        <w:widowControl/>
        <w:spacing w:line="248" w:lineRule="exact" w:before="0" w:after="192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1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Recognition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outside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9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certificate issued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of a country to which the Convention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to the effect that the condition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 and its equipment are in good order, shall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accepted by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and, regarded for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covered by the Convention as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validity as a certificate issued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ship shall be required to hold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referred to in subsection (1), while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ports or offshore terminals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jurisdiction of Sri Lanka.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ship does not carry a valid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take such steps to ensure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ship shall not sail until it may proceed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 without presenting an unreasonable threat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harm to the marine environment:</w:t>
      </w:r>
    </w:p>
    <w:p>
      <w:pPr>
        <w:autoSpaceDN w:val="0"/>
        <w:autoSpaceDE w:val="0"/>
        <w:widowControl/>
        <w:spacing w:line="247" w:lineRule="auto" w:before="254" w:after="194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may grant such a ship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 to leave the port or offshore terminal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proceeding to the nearest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appropriate repair yard available.”.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8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321 of the principal enactment,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“Implementing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Director-General of Merchant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standards.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may,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issue such implementing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compliance with the minimum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of the provisions of any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Protocol as provided in this Act, as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5" w:lineRule="auto" w:before="24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regulations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thereunder. </w:t>
      </w:r>
    </w:p>
    <w:p>
      <w:pPr>
        <w:autoSpaceDN w:val="0"/>
        <w:autoSpaceDE w:val="0"/>
        <w:widowControl/>
        <w:spacing w:line="245" w:lineRule="auto" w:before="180" w:after="122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all persons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any implementation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issued under subsection (1)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Imposition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penalty.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4" w:right="71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the Director- General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Merchant Shipping  has sufficient evidence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any person has acted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the provisions of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regulation, rule, order or direction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thereunder, he may–</w:t>
      </w:r>
    </w:p>
    <w:p>
      <w:pPr>
        <w:autoSpaceDN w:val="0"/>
        <w:tabs>
          <w:tab w:pos="4582" w:val="left"/>
          <w:tab w:pos="4584" w:val="left"/>
        </w:tabs>
        <w:autoSpaceDE w:val="0"/>
        <w:widowControl/>
        <w:spacing w:line="245" w:lineRule="auto" w:before="182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recommendation of the panel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section 321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Act; and 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184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first offender,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circumstances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offence was committed,</w:t>
      </w:r>
    </w:p>
    <w:p>
      <w:pPr>
        <w:autoSpaceDN w:val="0"/>
        <w:autoSpaceDE w:val="0"/>
        <w:widowControl/>
        <w:spacing w:line="245" w:lineRule="auto" w:before="182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is appropriate to impose a penalty, cause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to be served in a form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on such person, requiring him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 within a period of one month of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 of such notice and show 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why a penalty should not be imposed on him. </w:t>
      </w:r>
    </w:p>
    <w:p>
      <w:pPr>
        <w:autoSpaceDN w:val="0"/>
        <w:autoSpaceDE w:val="0"/>
        <w:widowControl/>
        <w:spacing w:line="245" w:lineRule="auto" w:before="18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person on whom the notice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admits that he acted in contravention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Act or any regulation,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rule, Order or direction made thereunder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of one month of the date of receipt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notice,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impose on that person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monetary penalty not exceeding one third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fine that could be imposed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to which such person would be liable,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if convicted by a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038" w:val="left"/>
        </w:tabs>
        <w:autoSpaceDE w:val="0"/>
        <w:widowControl/>
        <w:spacing w:line="248" w:lineRule="exact" w:before="0" w:after="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5" w:lineRule="auto" w:before="24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on whom the notice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served, appears within a period of one month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of receipt of such notice and states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he has a cause to show against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imposition of the penalty,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may proceed forthwith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hear and decide the matter.</w:t>
      </w:r>
    </w:p>
    <w:p>
      <w:pPr>
        <w:autoSpaceDN w:val="0"/>
        <w:autoSpaceDE w:val="0"/>
        <w:widowControl/>
        <w:spacing w:line="245" w:lineRule="auto" w:before="160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is not satisfied with reasons given,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after assigning reasons therefor, impose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penalty specified in subsection (2)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autoSpaceDE w:val="0"/>
        <w:widowControl/>
        <w:spacing w:line="245" w:lineRule="auto" w:before="182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imposes a monetary penalty on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under this section for any contravention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Act or any regulation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thereunder, he shall cause the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on such person, in a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regulation. </w:t>
      </w:r>
    </w:p>
    <w:p>
      <w:pPr>
        <w:autoSpaceDN w:val="0"/>
        <w:autoSpaceDE w:val="0"/>
        <w:widowControl/>
        <w:spacing w:line="245" w:lineRule="auto" w:before="182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aggrieved by the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Director-General of Merchant Shipping,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appeal to the Secretary of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to whom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is assigned,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“Secretary”)  within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thirty days from the date of receipt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made under subsection (3).</w:t>
      </w:r>
    </w:p>
    <w:p>
      <w:pPr>
        <w:autoSpaceDN w:val="0"/>
        <w:autoSpaceDE w:val="0"/>
        <w:widowControl/>
        <w:spacing w:line="245" w:lineRule="auto" w:before="18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Secretary shall make a decision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appeal taking into consideration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and the circumstances in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was committed, and may either–</w:t>
      </w:r>
    </w:p>
    <w:p>
      <w:pPr>
        <w:autoSpaceDN w:val="0"/>
        <w:tabs>
          <w:tab w:pos="3256" w:val="left"/>
          <w:tab w:pos="3278" w:val="left"/>
        </w:tabs>
        <w:autoSpaceDE w:val="0"/>
        <w:widowControl/>
        <w:spacing w:line="245" w:lineRule="auto" w:before="184" w:after="0"/>
        <w:ind w:left="28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allow, alter or vary the decision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Merchant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Shipping and direct the Director-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Merchant Shipping to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tabs>
          <w:tab w:pos="4582" w:val="left"/>
          <w:tab w:pos="4602" w:val="left"/>
        </w:tabs>
        <w:autoSpaceDE w:val="0"/>
        <w:widowControl/>
        <w:spacing w:line="245" w:lineRule="auto" w:before="254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disallow the appeal for reasons stated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comply with any direction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him by the Secretary within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fourteen days from such direction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the direction of the Secretary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 aggrieved by his decision.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Every notice under this section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under registered post, and if sent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or exhibited in the last known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of abode, it shall be deemed to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served on that person.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Notwithstanding anything contained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no suit or prosecution shall lie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regarding the same offence,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offender has admitted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offence and paid such penalty.</w:t>
      </w:r>
    </w:p>
    <w:p>
      <w:pPr>
        <w:autoSpaceDN w:val="0"/>
        <w:autoSpaceDE w:val="0"/>
        <w:widowControl/>
        <w:spacing w:line="247" w:lineRule="auto" w:before="254" w:after="194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person aggrieved by the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Secretary may prefer an appeal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within thirty days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communication of such decision,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question of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4" w:right="576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Upon the lapse of one month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decision made under subsections (4) or (10)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 section 321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where the person on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decision is made makes default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penalty,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  shall issue a Certificate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form determined by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together with certified copy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notice and decision served 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the Magistrate having jurisdiction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division in which the violation occurred.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038" w:val="left"/>
        </w:tabs>
        <w:autoSpaceDE w:val="0"/>
        <w:widowControl/>
        <w:spacing w:line="248" w:lineRule="exact" w:before="0" w:after="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50" w:lineRule="auto" w:before="254" w:after="194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shall, thereupon, summon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who makes default in the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penalty under subsection (1) before him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cause why further  proceedings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recovery of the sum due under this Act should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taken against him, and in default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cause being shown, such sum 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fine imposed by a sentence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Magistrate on such person for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with imprisonment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291 (except paragraphs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 of  subsection (1)  thereof)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 Procedure Act, No.15 of 1979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default of payment of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such an offence shall thereupon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and the Magistrate may make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by the provisions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he could have made at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imposing such sentence.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2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Panel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Experts.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5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There shall be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Merchant Shipping in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Secretary a panel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consisting of five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knowledge and experience in the fields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marine navigation, marine engineering,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law or accountancy. </w:t>
      </w:r>
    </w:p>
    <w:p>
      <w:pPr>
        <w:autoSpaceDN w:val="0"/>
        <w:autoSpaceDE w:val="0"/>
        <w:widowControl/>
        <w:spacing w:line="247" w:lineRule="auto" w:before="25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function of such panel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to make recommendations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Merchant Shipping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under which he shall impose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monetary penalty on any person. </w:t>
      </w:r>
    </w:p>
    <w:p>
      <w:pPr>
        <w:autoSpaceDN w:val="0"/>
        <w:autoSpaceDE w:val="0"/>
        <w:widowControl/>
        <w:spacing w:line="247" w:lineRule="auto" w:before="25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pay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he shall determine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Minister to whom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is assigned to members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panel.”.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938" w:val="left"/>
          <w:tab w:pos="4508" w:val="left"/>
        </w:tabs>
        <w:autoSpaceDE w:val="0"/>
        <w:widowControl/>
        <w:spacing w:line="228" w:lineRule="exact" w:before="38" w:after="186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 323 of the principal enactment,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323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</w:tr>
      <w:tr>
        <w:trPr>
          <w:trHeight w:hRule="exact" w:val="59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576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Director 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 exempt such ship or class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ship from any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contained in or prescribed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Act , if he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such exemption is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scope of the relevant Convention.”.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330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330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substituted therefor:– 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13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“Application</w:t>
            </w:r>
          </w:p>
        </w:tc>
        <w:tc>
          <w:tcPr>
            <w:tcW w:type="dxa" w:w="4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other provision is made therefor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  <w:tc>
          <w:tcPr>
            <w:tcW w:type="dxa" w:w="4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 made under this Act–</w:t>
            </w:r>
          </w:p>
        </w:tc>
      </w:tr>
      <w:tr>
        <w:trPr>
          <w:trHeight w:hRule="exact" w:val="342"/>
        </w:trPr>
        <w:tc>
          <w:tcPr>
            <w:tcW w:type="dxa" w:w="1503"/>
            <w:vMerge/>
            <w:tcBorders/>
          </w:tcPr>
          <w:p/>
        </w:tc>
        <w:tc>
          <w:tcPr>
            <w:tcW w:type="dxa" w:w="13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conventions.</w:t>
            </w:r>
          </w:p>
        </w:tc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45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Safety of Life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 1974, Protocol of 1988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from time to time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amendment made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Protocol shall have effect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 139,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as may be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 them to the circumstances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Lanka; and any reference therein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“Administration”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as a reference to the Director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Merchant Shipping, 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person or officer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may for such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appoint;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204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on Load Lines, 1966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modified by the Protocol of 1988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subsequent amendment made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62" w:val="left"/>
          <w:tab w:pos="6038" w:val="left"/>
        </w:tabs>
        <w:autoSpaceDE w:val="0"/>
        <w:widowControl/>
        <w:spacing w:line="248" w:lineRule="exact" w:before="0" w:after="0"/>
        <w:ind w:left="259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5" w:lineRule="auto" w:before="246" w:after="0"/>
        <w:ind w:left="32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Protocol, shall have effect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Part VI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shall take effect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as may be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 them to the circumstances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3256" w:val="left"/>
        </w:tabs>
        <w:autoSpaceDE w:val="0"/>
        <w:widowControl/>
        <w:spacing w:line="245" w:lineRule="auto" w:before="234" w:after="0"/>
        <w:ind w:left="28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on Tonnage Measurement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Ships, 1969 shall have effect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 44,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as may be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 them to the circumstances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p>
      <w:pPr>
        <w:autoSpaceDN w:val="0"/>
        <w:tabs>
          <w:tab w:pos="3256" w:val="left"/>
        </w:tabs>
        <w:autoSpaceDE w:val="0"/>
        <w:widowControl/>
        <w:spacing w:line="245" w:lineRule="auto" w:before="232" w:after="174"/>
        <w:ind w:left="28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prevention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pollution from ships, 1973,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modified by the Protocol of 1978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Protocol of 1997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amendment made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Protocols shall have effect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as may be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 them to the circumstances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the definition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Savings.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“Convention” in sections 138 and 159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enactment, every regulation made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repealed Conventions in force on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in so far as such regulation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made under this 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18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</w:tr>
      <w:tr>
        <w:trPr>
          <w:trHeight w:hRule="exact" w:val="4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prevail.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17 of 2019</w:t>
      </w:r>
    </w:p>
    <w:p>
      <w:pPr>
        <w:autoSpaceDN w:val="0"/>
        <w:autoSpaceDE w:val="0"/>
        <w:widowControl/>
        <w:spacing w:line="245" w:lineRule="auto" w:before="859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