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6" w:after="0"/>
        <w:ind w:left="0" w:right="253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6"/>
        </w:rPr>
        <w:t xml:space="preserve">FINANCE </w:t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 ACT,  No.  21  OF  2019</w:t>
      </w:r>
    </w:p>
    <w:p>
      <w:pPr>
        <w:autoSpaceDN w:val="0"/>
        <w:autoSpaceDE w:val="0"/>
        <w:widowControl/>
        <w:spacing w:line="235" w:lineRule="auto" w:before="1238" w:after="0"/>
        <w:ind w:left="0" w:right="29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31st of  October, 2019]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01, 2019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 Act, No. 21 of 2019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4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90" w:after="0"/>
        <w:ind w:left="0" w:right="37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31st of October, 2019]</w:t>
      </w:r>
    </w:p>
    <w:p>
      <w:pPr>
        <w:autoSpaceDN w:val="0"/>
        <w:autoSpaceDE w:val="0"/>
        <w:widowControl/>
        <w:spacing w:line="238" w:lineRule="auto" w:before="27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15/2019</w:t>
      </w:r>
    </w:p>
    <w:p>
      <w:pPr>
        <w:autoSpaceDN w:val="0"/>
        <w:autoSpaceDE w:val="0"/>
        <w:widowControl/>
        <w:spacing w:line="257" w:lineRule="auto" w:before="276" w:after="0"/>
        <w:ind w:left="1602" w:right="2866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OMMERCIAL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RANSACTIONS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EVY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THEREWITH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0" w:lineRule="auto" w:before="276" w:after="216"/>
        <w:ind w:left="13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Finance Act, No. 21 of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2019.</w:t>
      </w:r>
    </w:p>
    <w:p>
      <w:pPr>
        <w:autoSpaceDN w:val="0"/>
        <w:autoSpaceDE w:val="0"/>
        <w:widowControl/>
        <w:spacing w:line="238" w:lineRule="auto" w:before="276" w:after="0"/>
        <w:ind w:left="0" w:right="49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76" w:after="216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MENDMENT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VII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23 of the Finance Act, No. 35 of 2018 is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2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35 of 2018.</w:t>
            </w:r>
          </w:p>
        </w:tc>
      </w:tr>
      <w:tr>
        <w:trPr>
          <w:trHeight w:hRule="exact" w:val="814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682" w:right="1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amended by the substitution for the definition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expression “specified motor vehicle”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6" w:after="0"/>
        <w:ind w:left="16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 “specified motor vehicle”—</w:t>
      </w:r>
    </w:p>
    <w:p>
      <w:pPr>
        <w:autoSpaceDN w:val="0"/>
        <w:tabs>
          <w:tab w:pos="2322" w:val="left"/>
        </w:tabs>
        <w:autoSpaceDE w:val="0"/>
        <w:widowControl/>
        <w:spacing w:line="262" w:lineRule="auto" w:before="276" w:after="0"/>
        <w:ind w:left="19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a vehicle of which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falls prior to November 1, 2019,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any assembled or unassembled diesel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motor vehicle of which the cylinder capacity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exceeds 2,300 CC or a petrol motor vehicle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cylinder capacity exceeds 1,800 CC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electric vehicle of which motor power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engine exceeds 200 Kw, but shall not include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dual purpose petrol motor vehicle of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cylinder capacity does not exceed 2,200 CC,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dual purpose electric motor vehicle, a van,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single cab or a wagon;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 Act, No. 21 of 2019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a vehicle of which the first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844" w:right="13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falls on or after November 1, 2019,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any assembled or unassembled motor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vehicle, but does not include a van, a single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cab, a double cab, a motor cycle, a motor tricycle,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motor ambulance, a motor hearse, a lorry,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tractor, a hand tractor, a trailer or any motor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for transport of goods, as identified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harmonized commodity description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coding system numbers provided in terms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Customs Ordinance (Chapter 235).”.</w:t>
      </w:r>
    </w:p>
    <w:p>
      <w:pPr>
        <w:autoSpaceDN w:val="0"/>
        <w:autoSpaceDE w:val="0"/>
        <w:widowControl/>
        <w:spacing w:line="238" w:lineRule="auto" w:before="164" w:after="0"/>
        <w:ind w:left="0" w:right="3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35" w:lineRule="auto" w:before="162" w:after="104"/>
        <w:ind w:left="0" w:right="1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MENDMENT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XI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35 of 2018.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40 of the Finance Act, No. 35 of 2018</w:t>
            </w:r>
          </w:p>
        </w:tc>
      </w:tr>
      <w:tr>
        <w:trPr>
          <w:trHeight w:hRule="exact" w:val="696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64" w:right="67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in this Part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enactment”) is hereby amended by the repeal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 and the substitution therefor of the following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subsection:—</w:t>
      </w:r>
    </w:p>
    <w:p>
      <w:pPr>
        <w:autoSpaceDN w:val="0"/>
        <w:autoSpaceDE w:val="0"/>
        <w:widowControl/>
        <w:spacing w:line="245" w:lineRule="auto" w:before="162" w:after="0"/>
        <w:ind w:left="3244" w:right="13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“(1) There shall be levied a tax to be called the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“Carbon Tax” (hereinafter in this Part referred to as “the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tax”) for the period commencing from January 1, 2019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ending on November 30, 2019, from the registered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 of every motor vehicle specified in the Third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hereto, at the rates specified in that Schedule:</w:t>
      </w:r>
    </w:p>
    <w:p>
      <w:pPr>
        <w:autoSpaceDN w:val="0"/>
        <w:autoSpaceDE w:val="0"/>
        <w:widowControl/>
        <w:spacing w:line="245" w:lineRule="auto" w:before="162" w:after="102"/>
        <w:ind w:left="3244" w:right="13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tax payable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shall not be levied in respect of any motor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registered for the first time within the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January 1, 2019 and ending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30, 2019, in terms of the Motor Traffic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(Chapter 203).”.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41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41 of the principal enactment is hereby</w:t>
            </w:r>
          </w:p>
        </w:tc>
      </w:tr>
      <w:tr>
        <w:trPr>
          <w:trHeight w:hRule="exact" w:val="59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(1)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new subsection:—</w:t>
            </w:r>
          </w:p>
        </w:tc>
      </w:tr>
    </w:tbl>
    <w:p>
      <w:pPr>
        <w:autoSpaceDN w:val="0"/>
        <w:autoSpaceDE w:val="0"/>
        <w:widowControl/>
        <w:spacing w:line="245" w:lineRule="auto" w:before="48" w:after="0"/>
        <w:ind w:left="3244" w:right="13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tax payable under subsection (1) of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40, shall be paid by the registered owner of any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motor vehicle, to the Divisional Secretary, on or before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due date of renewal of annual registration.”.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tabs>
          <w:tab w:pos="6030" w:val="left"/>
        </w:tabs>
        <w:autoSpaceDE w:val="0"/>
        <w:widowControl/>
        <w:spacing w:line="226" w:lineRule="exact" w:before="0" w:after="0"/>
        <w:ind w:left="257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Finance Act, No. 21 of 2019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236" w:after="0"/>
        <w:ind w:left="0" w:right="4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5" w:lineRule="auto" w:before="142" w:after="104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MENDMENT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XII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46 of the Finance Act, No. 35 of 2018 is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2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 35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2018.</w:t>
            </w:r>
          </w:p>
        </w:tc>
      </w:tr>
      <w:tr>
        <w:trPr>
          <w:trHeight w:hRule="exact" w:val="524"/>
        </w:trPr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repealed and the following new section is substituted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“Recovery of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46. (1) Where the amount of the levy or part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levy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default.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thereof is in default, the defaulter shall be liable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pay to the Commission, in addition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3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levy in default, a surcharge calculated—</w:t>
      </w:r>
    </w:p>
    <w:p>
      <w:pPr>
        <w:autoSpaceDN w:val="0"/>
        <w:tabs>
          <w:tab w:pos="3144" w:val="left"/>
          <w:tab w:pos="3162" w:val="left"/>
        </w:tabs>
        <w:autoSpaceDE w:val="0"/>
        <w:widowControl/>
        <w:spacing w:line="245" w:lineRule="auto" w:before="142" w:after="0"/>
        <w:ind w:left="27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rate of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such levy as is in default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subsequent period of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 or part thereof, from the due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for the payment of the levy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44; and</w:t>
      </w:r>
    </w:p>
    <w:p>
      <w:pPr>
        <w:autoSpaceDN w:val="0"/>
        <w:tabs>
          <w:tab w:pos="3144" w:val="left"/>
          <w:tab w:pos="3162" w:val="left"/>
        </w:tabs>
        <w:autoSpaceDE w:val="0"/>
        <w:widowControl/>
        <w:spacing w:line="245" w:lineRule="auto" w:before="142" w:after="0"/>
        <w:ind w:left="27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rate of two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such levy as is in default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subsequent period of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 or part thereof, from the due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for the payment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45" w:lineRule="auto" w:before="144" w:after="0"/>
        <w:ind w:left="242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surcharge shall be collected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144" w:after="0"/>
        <w:ind w:left="2424" w:right="287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take action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 any levy which is in default for a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more than three months, along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the surcharge accrued thereon,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manner as is specified hereafter.</w:t>
      </w:r>
    </w:p>
    <w:p>
      <w:pPr>
        <w:autoSpaceDN w:val="0"/>
        <w:autoSpaceDE w:val="0"/>
        <w:widowControl/>
        <w:spacing w:line="245" w:lineRule="auto" w:before="144" w:after="0"/>
        <w:ind w:left="2424" w:right="287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cause to be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defaulter, a Notice, informing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defaulter of the intention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institute proceedings for the recovery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the levy in default and the surcharge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accrued thereon in terms of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unless such levy and the surcharge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thereon is paid within a period of three weeks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date of issue of such Notice.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4122" w:val="left"/>
        </w:tabs>
        <w:autoSpaceDE w:val="0"/>
        <w:widowControl/>
        <w:spacing w:line="266" w:lineRule="exact" w:before="0" w:after="0"/>
        <w:ind w:left="28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Finance Act, No. 21 of 2019</w:t>
      </w:r>
    </w:p>
    <w:p>
      <w:pPr>
        <w:autoSpaceDN w:val="0"/>
        <w:autoSpaceDE w:val="0"/>
        <w:widowControl/>
        <w:spacing w:line="257" w:lineRule="auto" w:before="236" w:after="0"/>
        <w:ind w:left="3952" w:right="13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Commission issues Notice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defaulter in terms of subsection (3) but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 of the levy in default along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surcharge thereon remains unpaid even though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three weeks specified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has elapsed, the Commission shall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hand of the Chairman, issue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having jurisdiction over the division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the defaulter resides or is carrying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a Certificate  containing the name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address of the defaulter and the total sum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default along with a statement to the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person so named has defaulted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making the payment as required by this section.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defaulter is a body corporate, a firm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body unincorporated other than a firm,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shall contain the names of every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and officer responsible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control of such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or, of every partner of such firm or,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officer responsible with the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control of such body unincorporate.</w:t>
      </w:r>
    </w:p>
    <w:p>
      <w:pPr>
        <w:autoSpaceDN w:val="0"/>
        <w:autoSpaceDE w:val="0"/>
        <w:widowControl/>
        <w:spacing w:line="254" w:lineRule="auto" w:before="266" w:after="0"/>
        <w:ind w:left="3952" w:right="13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Magistrate shall on receipt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issued under subsection (4), issue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summons on the defaulter requiring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defaulter to appear before him on a date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and show cause as to why the amount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such certificate should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recoverd from such defaulter. Where the cause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shown appears to the Magistrate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insufficeient so as to explain the reason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nonpayment, the Magistrate shall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recording the same, make order for the recovery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amount specified in such certificate,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defaulter as if it were a fine imposed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Magistrate. The money so recovered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remitted to the Commission, which shall credit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same to the Consolidated Fund.”.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tabs>
          <w:tab w:pos="6030" w:val="left"/>
        </w:tabs>
        <w:autoSpaceDE w:val="0"/>
        <w:widowControl/>
        <w:spacing w:line="226" w:lineRule="exact" w:before="0" w:after="0"/>
        <w:ind w:left="257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Finance Act, No. 21 of 2019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246" w:after="0"/>
        <w:ind w:left="0" w:right="4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8" w:lineRule="auto" w:before="282" w:after="218"/>
        <w:ind w:left="14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EVY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OMMERCIAL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Part of this Act shall come into operation on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3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Part.</w:t>
            </w:r>
          </w:p>
        </w:tc>
      </w:tr>
      <w:tr>
        <w:trPr>
          <w:trHeight w:hRule="exact" w:val="522"/>
        </w:trPr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8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date as the Minister may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appoint (hereinafter in this Part referred to as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“appointed date”).</w:t>
      </w:r>
    </w:p>
    <w:p>
      <w:pPr>
        <w:autoSpaceDN w:val="0"/>
        <w:autoSpaceDE w:val="0"/>
        <w:widowControl/>
        <w:spacing w:line="254" w:lineRule="auto" w:before="280" w:after="0"/>
        <w:ind w:left="1344" w:right="288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Order under subsection (1) shall, not later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from the date of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</w:t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 for its approval.</w:t>
      </w:r>
    </w:p>
    <w:p>
      <w:pPr>
        <w:autoSpaceDN w:val="0"/>
        <w:tabs>
          <w:tab w:pos="1584" w:val="left"/>
        </w:tabs>
        <w:autoSpaceDE w:val="0"/>
        <w:widowControl/>
        <w:spacing w:line="252" w:lineRule="auto" w:before="282" w:after="218"/>
        <w:ind w:left="1344" w:right="288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Notification of the date of the approval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Gezette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appointed date, there shall be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Imposition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Levy on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commercial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transactions.</w:t>
            </w:r>
          </w:p>
        </w:tc>
      </w:tr>
      <w:tr>
        <w:trPr>
          <w:trHeight w:hRule="exact" w:val="764"/>
        </w:trPr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84" w:right="12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charged, a levy to be called the “Levy on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Transactions” (hereinafter in this Part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“Levy”) from every person who has completed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344" w:right="28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transaction through a payment card with a person outside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to purchase any goods or services from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Lanka.</w:t>
      </w:r>
    </w:p>
    <w:p>
      <w:pPr>
        <w:autoSpaceDN w:val="0"/>
        <w:autoSpaceDE w:val="0"/>
        <w:widowControl/>
        <w:spacing w:line="257" w:lineRule="auto" w:before="282" w:after="0"/>
        <w:ind w:left="1344" w:right="288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rate of the Levy shall be 3.5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 remitted outside Sri Lanka for any transaction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59" w:lineRule="auto" w:before="278" w:after="0"/>
        <w:ind w:left="1344" w:right="288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levy shall be collected at the time of the remittance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sum outside Sri Lanka for a transaction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by every financial institution which transfers </w:t>
      </w:r>
      <w:r>
        <w:rPr>
          <w:rFonts w:ascii="Times" w:hAnsi="Times" w:eastAsia="Times"/>
          <w:b w:val="0"/>
          <w:i w:val="0"/>
          <w:color w:val="000000"/>
          <w:sz w:val="20"/>
        </w:rPr>
        <w:t>any such sum.</w:t>
      </w:r>
    </w:p>
    <w:p>
      <w:pPr>
        <w:autoSpaceDN w:val="0"/>
        <w:autoSpaceDE w:val="0"/>
        <w:widowControl/>
        <w:spacing w:line="259" w:lineRule="auto" w:before="278" w:after="0"/>
        <w:ind w:left="1344" w:right="288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aggregate of the sums so collected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by any financial institution within any month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remitted to the Commissioner-General on or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twentieth day of the month succeeding the relevant </w:t>
      </w:r>
      <w:r>
        <w:rPr>
          <w:rFonts w:ascii="Times" w:hAnsi="Times" w:eastAsia="Times"/>
          <w:b w:val="0"/>
          <w:i w:val="0"/>
          <w:color w:val="000000"/>
          <w:sz w:val="20"/>
        </w:rPr>
        <w:t>month.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4122" w:val="left"/>
        </w:tabs>
        <w:autoSpaceDE w:val="0"/>
        <w:widowControl/>
        <w:spacing w:line="266" w:lineRule="exact" w:before="0" w:after="0"/>
        <w:ind w:left="28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Finance Act, No. 21 of 2019</w:t>
      </w:r>
    </w:p>
    <w:p>
      <w:pPr>
        <w:autoSpaceDN w:val="0"/>
        <w:autoSpaceDE w:val="0"/>
        <w:widowControl/>
        <w:spacing w:line="247" w:lineRule="auto" w:before="232" w:after="0"/>
        <w:ind w:left="2884" w:right="13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financial institution shall in respect of each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such financial institution, furnish a return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within a period of six months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end of that financial year, in such form, manner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such information together with such attachments, </w:t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by the Commissioner-General.</w:t>
      </w:r>
    </w:p>
    <w:p>
      <w:pPr>
        <w:autoSpaceDN w:val="0"/>
        <w:autoSpaceDE w:val="0"/>
        <w:widowControl/>
        <w:spacing w:line="247" w:lineRule="auto" w:before="252" w:after="192"/>
        <w:ind w:left="2884" w:right="13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provisions which may be necessary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implemention of the provisions of this Part and collection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levy shall be prescribed by regulations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Exemption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payment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Levy.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may, having regard to the economic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of the country,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exempt any transaction specified in such Order,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8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conditions as may be specified in such Order, </w:t>
      </w:r>
      <w:r>
        <w:rPr>
          <w:rFonts w:ascii="Times" w:hAnsi="Times" w:eastAsia="Times"/>
          <w:b w:val="0"/>
          <w:i w:val="0"/>
          <w:color w:val="000000"/>
          <w:sz w:val="20"/>
        </w:rPr>
        <w:t>from the application of the provisions of section 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Default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Levy.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financial institution, which is liable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pay the levy under this Part fails to pay the levy as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in section 7, such financial institution shall be deemed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be a defaulter under this Act.</w:t>
      </w:r>
    </w:p>
    <w:p>
      <w:pPr>
        <w:autoSpaceDN w:val="0"/>
        <w:autoSpaceDE w:val="0"/>
        <w:widowControl/>
        <w:spacing w:line="247" w:lineRule="auto" w:before="252" w:after="192"/>
        <w:ind w:left="2884" w:right="13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Chapter IX, Chapter XI, Chapter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XII, Chapter XIII, Chapter XIV, Chapter XV, Chapter XVI,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XVII and Chapter XVIII of the Inland Revenue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24 of 2017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and in </w:t>
      </w:r>
      <w:r>
        <w:rPr>
          <w:rFonts w:ascii="Times" w:hAnsi="Times" w:eastAsia="Times"/>
          <w:b w:val="0"/>
          <w:i w:val="0"/>
          <w:color w:val="000000"/>
          <w:sz w:val="20"/>
        </w:rPr>
        <w:t>relation to any such defaulter.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part of this Act, unless the context otherwise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requires—</w:t>
      </w:r>
    </w:p>
    <w:p>
      <w:pPr>
        <w:autoSpaceDN w:val="0"/>
        <w:autoSpaceDE w:val="0"/>
        <w:widowControl/>
        <w:spacing w:line="247" w:lineRule="auto" w:before="252" w:after="0"/>
        <w:ind w:left="3724" w:right="134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“Commissioner-General” means, the Commissioner-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Inland Revenue appointed or deemed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appointed under the Inland Revenue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24 of 2017;</w:t>
      </w:r>
    </w:p>
    <w:p>
      <w:pPr>
        <w:autoSpaceDN w:val="0"/>
        <w:autoSpaceDE w:val="0"/>
        <w:widowControl/>
        <w:spacing w:line="247" w:lineRule="auto" w:before="252" w:after="0"/>
        <w:ind w:left="3724" w:right="134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“charge card” means, a payment card which involves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line of credit granted by the issuer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cardholder where the credit utilized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tabs>
          <w:tab w:pos="6030" w:val="left"/>
        </w:tabs>
        <w:autoSpaceDE w:val="0"/>
        <w:widowControl/>
        <w:spacing w:line="226" w:lineRule="exact" w:before="0" w:after="0"/>
        <w:ind w:left="257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Finance Act, No. 21 of 2019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236" w:after="0"/>
        <w:ind w:left="2184" w:right="28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cardholder must be settled fully on or before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date specified by the issuer, without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extended credit;</w:t>
      </w:r>
    </w:p>
    <w:p>
      <w:pPr>
        <w:autoSpaceDN w:val="0"/>
        <w:autoSpaceDE w:val="0"/>
        <w:widowControl/>
        <w:spacing w:line="247" w:lineRule="auto" w:before="252" w:after="0"/>
        <w:ind w:left="2184" w:right="287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“credit card” means, a payment card which involves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line of credit granted by the issuer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cardholder where the credit utilized can be settled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full or in part on or before a specified date.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issuer may charge interest or other charges on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amount not settled on the specified date;</w:t>
      </w:r>
    </w:p>
    <w:p>
      <w:pPr>
        <w:autoSpaceDN w:val="0"/>
        <w:autoSpaceDE w:val="0"/>
        <w:widowControl/>
        <w:spacing w:line="247" w:lineRule="auto" w:before="252" w:after="0"/>
        <w:ind w:left="2184" w:right="287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“debit card” means, a payment card that may  be 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withdraw cash or execute payments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of goods and services, or for both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purposes, by directly debiting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cardholder’s account;</w:t>
      </w:r>
    </w:p>
    <w:p>
      <w:pPr>
        <w:autoSpaceDN w:val="0"/>
        <w:autoSpaceDE w:val="0"/>
        <w:widowControl/>
        <w:spacing w:line="247" w:lineRule="auto" w:before="252" w:after="0"/>
        <w:ind w:left="2184" w:right="287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“finance company” means, a finance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under the Finance Business Act, No. 42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2011;</w:t>
      </w:r>
    </w:p>
    <w:p>
      <w:pPr>
        <w:autoSpaceDN w:val="0"/>
        <w:autoSpaceDE w:val="0"/>
        <w:widowControl/>
        <w:spacing w:line="247" w:lineRule="auto" w:before="252" w:after="0"/>
        <w:ind w:left="2184" w:right="287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institution” means, a licensed commercial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a licensed specialized bank, or a finance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engaged in the business as an issuer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cards or financial acquirer of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cards under the authority of a licence issued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Bank of Sri Lanka;</w:t>
      </w:r>
    </w:p>
    <w:p>
      <w:pPr>
        <w:autoSpaceDN w:val="0"/>
        <w:autoSpaceDE w:val="0"/>
        <w:widowControl/>
        <w:spacing w:line="250" w:lineRule="auto" w:before="252" w:after="0"/>
        <w:ind w:left="2184" w:right="287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acquirer” means, any person who makes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with third parties to accept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cards of cardholders as a means of payment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reimburses those third parties with the value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goods or services purchased by the cardholder,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who reimburses such third parties for cash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 obtained by the card holders or performs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both such functions;</w:t>
      </w:r>
    </w:p>
    <w:p>
      <w:pPr>
        <w:autoSpaceDN w:val="0"/>
        <w:autoSpaceDE w:val="0"/>
        <w:widowControl/>
        <w:spacing w:line="247" w:lineRule="auto" w:before="252" w:after="0"/>
        <w:ind w:left="2184" w:right="287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“issuer” means, an entity that issues a payment card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thereby enters into a contractual relationship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the cardholder;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4122" w:val="left"/>
        </w:tabs>
        <w:autoSpaceDE w:val="0"/>
        <w:widowControl/>
        <w:spacing w:line="266" w:lineRule="exact" w:before="0" w:after="0"/>
        <w:ind w:left="28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Finance Act, No. 21 of 2019</w:t>
      </w:r>
    </w:p>
    <w:p>
      <w:pPr>
        <w:autoSpaceDN w:val="0"/>
        <w:autoSpaceDE w:val="0"/>
        <w:widowControl/>
        <w:spacing w:line="245" w:lineRule="auto" w:before="240" w:after="0"/>
        <w:ind w:left="3724" w:right="134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commercial bank” means, a commercial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under the Banking Act, No. 30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p>
      <w:pPr>
        <w:autoSpaceDN w:val="0"/>
        <w:autoSpaceDE w:val="0"/>
        <w:widowControl/>
        <w:spacing w:line="245" w:lineRule="auto" w:before="254" w:after="0"/>
        <w:ind w:left="3724" w:right="134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specialized bank” means, a specialized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under the Banking Act, No. 30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p>
      <w:pPr>
        <w:autoSpaceDN w:val="0"/>
        <w:tabs>
          <w:tab w:pos="3724" w:val="left"/>
        </w:tabs>
        <w:autoSpaceDE w:val="0"/>
        <w:widowControl/>
        <w:spacing w:line="245" w:lineRule="auto" w:before="254" w:after="0"/>
        <w:ind w:left="342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“payment card” means, a debit card, credit card,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charge card or stored-value card;</w:t>
      </w:r>
    </w:p>
    <w:p>
      <w:pPr>
        <w:autoSpaceDN w:val="0"/>
        <w:autoSpaceDE w:val="0"/>
        <w:widowControl/>
        <w:spacing w:line="245" w:lineRule="auto" w:before="254" w:after="0"/>
        <w:ind w:left="3724" w:right="1344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“person” shall have the same meaning assigned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expression under the Inland Revenue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24 of 2017;</w:t>
      </w:r>
    </w:p>
    <w:p>
      <w:pPr>
        <w:autoSpaceDN w:val="0"/>
        <w:autoSpaceDE w:val="0"/>
        <w:widowControl/>
        <w:spacing w:line="247" w:lineRule="auto" w:before="254" w:after="0"/>
        <w:ind w:left="3724" w:right="134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“stored-value card” means, a payment card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device with access to a stored value that can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used as a means of payment and does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 card that can be used only to settle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payment obligations to the issuer of such card.</w:t>
      </w:r>
    </w:p>
    <w:p>
      <w:pPr>
        <w:autoSpaceDN w:val="0"/>
        <w:autoSpaceDE w:val="0"/>
        <w:widowControl/>
        <w:spacing w:line="235" w:lineRule="auto" w:before="254" w:after="0"/>
        <w:ind w:left="0" w:right="3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</w:t>
      </w:r>
    </w:p>
    <w:p>
      <w:pPr>
        <w:autoSpaceDN w:val="0"/>
        <w:autoSpaceDE w:val="0"/>
        <w:widowControl/>
        <w:spacing w:line="235" w:lineRule="auto" w:before="254" w:after="194"/>
        <w:ind w:left="0" w:right="3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in respect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8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matters which are required to be prescribed or for which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 are authorized to be made under this Act.</w:t>
      </w:r>
    </w:p>
    <w:p>
      <w:pPr>
        <w:autoSpaceDN w:val="0"/>
        <w:autoSpaceDE w:val="0"/>
        <w:widowControl/>
        <w:spacing w:line="247" w:lineRule="auto" w:before="254" w:after="0"/>
        <w:ind w:left="2884" w:right="13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the date of its publication or on </w:t>
      </w:r>
      <w:r>
        <w:rPr>
          <w:rFonts w:ascii="Times" w:hAnsi="Times" w:eastAsia="Times"/>
          <w:b w:val="0"/>
          <w:i w:val="0"/>
          <w:color w:val="000000"/>
          <w:sz w:val="20"/>
        </w:rPr>
        <w:t>such later date as may be specified therein.</w:t>
      </w:r>
    </w:p>
    <w:p>
      <w:pPr>
        <w:autoSpaceDN w:val="0"/>
        <w:autoSpaceDE w:val="0"/>
        <w:widowControl/>
        <w:spacing w:line="247" w:lineRule="auto" w:before="254" w:after="0"/>
        <w:ind w:left="2884" w:right="134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from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Parliament for approval. Every regulation which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disapproval but without prejudice to anything duly </w:t>
      </w:r>
      <w:r>
        <w:rPr>
          <w:rFonts w:ascii="Times" w:hAnsi="Times" w:eastAsia="Times"/>
          <w:b w:val="0"/>
          <w:i w:val="0"/>
          <w:color w:val="000000"/>
          <w:sz w:val="20"/>
        </w:rPr>
        <w:t>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tabs>
          <w:tab w:pos="6030" w:val="left"/>
        </w:tabs>
        <w:autoSpaceDE w:val="0"/>
        <w:widowControl/>
        <w:spacing w:line="226" w:lineRule="exact" w:before="0" w:after="0"/>
        <w:ind w:left="257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Finance Act, No. 21 of 2019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244" w:after="0"/>
        <w:ind w:left="15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Notification of  the date on which any regulation is</w:t>
      </w:r>
    </w:p>
    <w:p>
      <w:pPr>
        <w:autoSpaceDN w:val="0"/>
        <w:autoSpaceDE w:val="0"/>
        <w:widowControl/>
        <w:spacing w:line="235" w:lineRule="auto" w:before="14" w:after="194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inconsistency.</w:t>
            </w:r>
          </w:p>
        </w:tc>
      </w:tr>
      <w:tr>
        <w:trPr>
          <w:trHeight w:hRule="exact" w:val="462"/>
        </w:trPr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8928"/>
        </w:trPr>
        <w:tc>
          <w:tcPr>
            <w:tcW w:type="dxa" w:w="21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9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5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Finance Act, No. 21 of 2019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