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NATIONAL  INNOVATION  AGENCY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22  OF  2019</w:t>
      </w:r>
    </w:p>
    <w:p>
      <w:pPr>
        <w:autoSpaceDN w:val="0"/>
        <w:autoSpaceDE w:val="0"/>
        <w:widowControl/>
        <w:spacing w:line="235" w:lineRule="auto" w:before="926" w:after="0"/>
        <w:ind w:left="0" w:right="28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 November, 2019]</w:t>
      </w:r>
    </w:p>
    <w:p>
      <w:pPr>
        <w:autoSpaceDN w:val="0"/>
        <w:autoSpaceDE w:val="0"/>
        <w:widowControl/>
        <w:spacing w:line="235" w:lineRule="auto" w:before="42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34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15,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Price : Rs.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Postage : Rs.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p>
      <w:pPr>
        <w:autoSpaceDN w:val="0"/>
        <w:autoSpaceDE w:val="0"/>
        <w:widowControl/>
        <w:spacing w:line="238" w:lineRule="auto" w:before="24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15th of November, 2019]</w:t>
      </w:r>
    </w:p>
    <w:p>
      <w:pPr>
        <w:autoSpaceDN w:val="0"/>
        <w:autoSpaceDE w:val="0"/>
        <w:widowControl/>
        <w:spacing w:line="238" w:lineRule="auto" w:before="2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— O. 33/2019</w:t>
      </w:r>
    </w:p>
    <w:p>
      <w:pPr>
        <w:autoSpaceDN w:val="0"/>
        <w:autoSpaceDE w:val="0"/>
        <w:widowControl/>
        <w:spacing w:line="238" w:lineRule="auto" w:before="2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</w:p>
    <w:p>
      <w:pPr>
        <w:autoSpaceDN w:val="0"/>
        <w:autoSpaceDE w:val="0"/>
        <w:widowControl/>
        <w:spacing w:line="238" w:lineRule="auto" w:before="6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INNOVATION</w:t>
      </w:r>
      <w:r>
        <w:rPr>
          <w:rFonts w:ascii="Times" w:hAnsi="Times" w:eastAsia="Times"/>
          <w:b w:val="0"/>
          <w:i w:val="0"/>
          <w:color w:val="221F1F"/>
          <w:sz w:val="14"/>
        </w:rPr>
        <w:t>AGENCY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</w:p>
    <w:p>
      <w:pPr>
        <w:autoSpaceDN w:val="0"/>
        <w:autoSpaceDE w:val="0"/>
        <w:widowControl/>
        <w:spacing w:line="235" w:lineRule="auto" w:before="7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45" w:lineRule="auto" w:before="254" w:after="18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National Innovation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4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Agency Act, No. 22 of 2019, and shall come into operation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date as the President may appoint (hereinafter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“the appointed date”)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242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168" w:after="160"/>
        <w:ind w:left="0" w:right="40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</w:t>
      </w:r>
      <w:r>
        <w:rPr>
          <w:rFonts w:ascii="Times" w:hAnsi="Times" w:eastAsia="Times"/>
          <w:b w:val="0"/>
          <w:i w:val="0"/>
          <w:color w:val="221F1F"/>
          <w:sz w:val="14"/>
        </w:rPr>
        <w:t>NNOVATION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an Agency called and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Innovation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  <w:tr>
        <w:trPr>
          <w:trHeight w:hRule="exact" w:val="5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known as the “National Innovation Agency”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“Agency”).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0" w:after="18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Agency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Agency shall be to 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promote better understanding on social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 science and technology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 defence innovation, eco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 and service  innovation,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impact on the economy;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17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to the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formulate national policies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innovation;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2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35" w:lineRule="auto" w:before="14" w:after="188"/>
        <w:ind w:left="0" w:right="30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1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national research is aligned with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contributes to the economy and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goals;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innovators and initiatives to foster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impact;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any obstacles in the public 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that hamper innovation;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 and facilitate innovation in private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sector to establish a vibrant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 eco system.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functions and duties of the Agency shall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to: –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liaise with the public and private sector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relevant to important aspects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Agency;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initiate and fund National Innovation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Programmes in order to support a creative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economy;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develop and sustain a national innovation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eco system in keeping with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Innovation and Entrepreneurship Strategy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 the National Innovation and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Entrepreneurship Strategy objectives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facilitation of hi-tech enterprises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stemming from research and technology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effectiveness of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investment, policies and strategies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innovation and entrepreneurship;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and harmonize international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in innovation with the relevant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6" w:val="left"/>
          <w:tab w:pos="6134" w:val="left"/>
        </w:tabs>
        <w:autoSpaceDE w:val="0"/>
        <w:widowControl/>
        <w:spacing w:line="245" w:lineRule="auto" w:before="0" w:after="0"/>
        <w:ind w:left="26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p>
      <w:pPr>
        <w:autoSpaceDN w:val="0"/>
        <w:autoSpaceDE w:val="0"/>
        <w:widowControl/>
        <w:spacing w:line="245" w:lineRule="auto" w:before="238" w:after="152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Ministries, Departments and other innovation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in Sri Lanka and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institutions to encourage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commercialization of the outputs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innovation activities;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709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13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0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7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8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drive the progress of Sri Lanka upward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ranking of global innovation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indices to ensure a resilient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standing, subject to the Sri Lanka Innovation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Entrepreneurship Strategy as approved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Cabinet of Ministers;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receive, collate, evaluate and publish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Lankan Annual Innovation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entrepreneurship reports covering the eco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system taking into consideration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linkage and presence;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purchase any movable or immovable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which may be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Agency, hold, take or give on lease or hire,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mortgage, pledge or sell or otherwise dispose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any movable or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belonging to the Agency  as may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expedient with a view to promote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Agency;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any applicable written law, to open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maintain current, savings or other deposit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accounts in any State bank or banks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such accounts;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any applicable written law,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accept and receive, gifts, grants, loans,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donations and bequests both 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immovable, from sources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for the use of the Agency:</w:t>
            </w:r>
          </w:p>
        </w:tc>
      </w:tr>
    </w:tbl>
    <w:p>
      <w:pPr>
        <w:autoSpaceDN w:val="0"/>
        <w:autoSpaceDE w:val="0"/>
        <w:widowControl/>
        <w:spacing w:line="245" w:lineRule="auto" w:before="110" w:after="0"/>
        <w:ind w:left="263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Agency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Ministry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in respect of all foreign grants,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or bequests made to the Agency;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22" w:val="left"/>
          <w:tab w:pos="4374" w:val="left"/>
        </w:tabs>
        <w:autoSpaceDE w:val="0"/>
        <w:widowControl/>
        <w:spacing w:line="245" w:lineRule="auto" w:before="0" w:after="178"/>
        <w:ind w:left="278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0"/>
        <w:gridCol w:w="4510"/>
      </w:tblGrid>
      <w:tr>
        <w:trPr>
          <w:trHeight w:hRule="exact" w:val="674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8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2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 in any bank account or accounts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Agency, the funds of the Agency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not required immediately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Agency;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rules in respect of matters pertaining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of affairs of the Agency;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outsource for appropriate payments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compliance with the relevant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regulations, research, data collating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activities necessary for the smooth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efficient discharge of the duties and functions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Agency. The Agency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 of all research, any material or data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collected by any person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and be responsible for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research, material or  data;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approval of the Cabinet of Ministers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enter into agreements, with any local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persons or institutions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Agency;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coordinate and facilitate joint ventures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private sector with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in order to achieve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Agency; and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generally do such acts and things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achievement of the objects of the Agency.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0"/>
        <w:ind w:left="0" w:right="3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174" w:after="114"/>
        <w:ind w:left="0" w:right="19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ANAGEMNT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Agency.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Agency shall be vested in a Steering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“Council”).</w:t>
            </w:r>
          </w:p>
        </w:tc>
      </w:tr>
    </w:tbl>
    <w:p>
      <w:pPr>
        <w:autoSpaceDN w:val="0"/>
        <w:autoSpaceDE w:val="0"/>
        <w:widowControl/>
        <w:spacing w:line="245" w:lineRule="auto" w:before="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Agency, exercise, discharge and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functions and duties conferred on,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>or imposed on the Agency by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14" w:after="178"/>
        <w:ind w:left="0" w:right="43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consist of-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 of the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Council.</w:t>
            </w:r>
          </w:p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namely,—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President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Chairperson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Strategies not below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an Additional Secretary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Minister;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not below the rank of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 nominated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Minister;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National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Planning Department or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nominee not below the rank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Intellectual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of Sri Lanka appointed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2 of the Intellectual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Act, No.36 of 2003;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Science not below the rank of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Secretary nominated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Minister;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 and Research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an Additional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nominated by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2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35" w:lineRule="auto" w:before="14" w:after="178"/>
        <w:ind w:left="0" w:right="30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Trade not below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rank of an Additional Secretary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Minister;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Education not below the rank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Additional Secretary nominated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that Minister;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of the Ministry of the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Education not below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rank of an Additional Secretary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that Minister;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of the</w:t>
            </w:r>
          </w:p>
        </w:tc>
      </w:tr>
      <w:tr>
        <w:trPr>
          <w:trHeight w:hRule="exact" w:val="1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Commerce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not below the rank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of that Department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(xii)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 of the Sri Lanka</w:t>
            </w:r>
          </w:p>
        </w:tc>
      </w:tr>
      <w:tr>
        <w:trPr>
          <w:trHeight w:hRule="exact" w:val="1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Inventors Commission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Sri Lanka inventors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Incentives Act, No. 53 of 1979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Assistant Commissioner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Commission nominated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 of the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Inventors Commission;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(xiii)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or his nominee of</w:t>
            </w:r>
          </w:p>
        </w:tc>
      </w:tr>
      <w:tr>
        <w:trPr>
          <w:trHeight w:hRule="exact" w:val="1972"/>
        </w:trPr>
        <w:tc>
          <w:tcPr>
            <w:tcW w:type="dxa" w:w="3007"/>
            <w:vMerge/>
            <w:tcBorders/>
          </w:tcPr>
          <w:p/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Sri Lanka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Nanotechnology; and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484" w:right="71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one person who has gained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eminence relating to innovation,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entrepreneurship, social innovation,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business, venture capital, education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finance, nominated by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appointed by the President;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26" w:val="left"/>
          <w:tab w:pos="6134" w:val="left"/>
        </w:tabs>
        <w:autoSpaceDE w:val="0"/>
        <w:widowControl/>
        <w:spacing w:line="245" w:lineRule="auto" w:before="0" w:after="0"/>
        <w:ind w:left="26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p>
      <w:pPr>
        <w:autoSpaceDN w:val="0"/>
        <w:autoSpaceDE w:val="0"/>
        <w:widowControl/>
        <w:spacing w:line="245" w:lineRule="auto" w:before="242" w:after="0"/>
        <w:ind w:left="323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not more than six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gained eminence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 entrepreneurship, social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innovation, business, venture capital,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education or finance, both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and private sectors,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President.</w:t>
      </w:r>
    </w:p>
    <w:p>
      <w:pPr>
        <w:autoSpaceDN w:val="0"/>
        <w:autoSpaceDE w:val="0"/>
        <w:widowControl/>
        <w:spacing w:line="245" w:lineRule="auto" w:before="212" w:after="0"/>
        <w:ind w:left="28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p>
      <w:pPr>
        <w:autoSpaceDN w:val="0"/>
        <w:autoSpaceDE w:val="0"/>
        <w:widowControl/>
        <w:spacing w:line="245" w:lineRule="auto" w:before="212" w:after="15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the subjects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fall within one or more Ministries, then an officer of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Ministry not below the rank of an Additional Secretary </w:t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 Minister shall be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person is not or ceases to be a citizen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member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Council.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or becomes a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or a Provincial Council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Authority;</w:t>
      </w:r>
    </w:p>
    <w:p>
      <w:pPr>
        <w:autoSpaceDN w:val="0"/>
        <w:autoSpaceDE w:val="0"/>
        <w:widowControl/>
        <w:spacing w:line="245" w:lineRule="auto" w:before="212" w:after="0"/>
        <w:ind w:left="26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has any financial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as is likely to affect the discharge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of his functions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p>
      <w:pPr>
        <w:autoSpaceDN w:val="0"/>
        <w:autoSpaceDE w:val="0"/>
        <w:widowControl/>
        <w:spacing w:line="245" w:lineRule="auto" w:before="216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under any law in force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or in any other country found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declared to be of unsound mind;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12" w:after="0"/>
        <w:ind w:left="23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an undischarged bankrupt;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autoSpaceDE w:val="0"/>
        <w:widowControl/>
        <w:spacing w:line="245" w:lineRule="auto" w:before="212" w:after="0"/>
        <w:ind w:left="26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person is serving or has served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imposed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in Sri Lanka or any other country,</w:t>
      </w:r>
    </w:p>
    <w:p>
      <w:pPr>
        <w:autoSpaceDN w:val="0"/>
        <w:autoSpaceDE w:val="0"/>
        <w:widowControl/>
        <w:spacing w:line="245" w:lineRule="auto" w:before="15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be disqualified from being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be a member of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02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Innovation Agency</w:t>
      </w:r>
    </w:p>
    <w:p>
      <w:pPr>
        <w:autoSpaceDN w:val="0"/>
        <w:autoSpaceDE w:val="0"/>
        <w:widowControl/>
        <w:spacing w:line="235" w:lineRule="auto" w:before="14" w:after="186"/>
        <w:ind w:left="0" w:right="30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2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  <w:p>
            <w:pPr>
              <w:autoSpaceDN w:val="0"/>
              <w:autoSpaceDE w:val="0"/>
              <w:widowControl/>
              <w:spacing w:line="245" w:lineRule="auto" w:before="4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etc.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  <w:tab w:pos="776" w:val="left"/>
              </w:tabs>
              <w:autoSpaceDE w:val="0"/>
              <w:widowControl/>
              <w:spacing w:line="245" w:lineRule="auto" w:before="60" w:after="0"/>
              <w:ind w:left="18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appointed member of the Council shall,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vacates office earlier by death, resignation or removal,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 office for a period of three years, and unless removed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office shall be eligible for re-appointment, for not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one further term, whether consecutive or otherwise.</w:t>
            </w:r>
          </w:p>
          <w:p>
            <w:pPr>
              <w:autoSpaceDN w:val="0"/>
              <w:tabs>
                <w:tab w:pos="424" w:val="left"/>
                <w:tab w:pos="776" w:val="left"/>
              </w:tabs>
              <w:autoSpaceDE w:val="0"/>
              <w:widowControl/>
              <w:spacing w:line="245" w:lineRule="auto" w:before="174" w:after="0"/>
              <w:ind w:left="18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appointed member of the Council may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time, resign his office by letter in that behalf addressed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President, and such resignation shall take effect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on which the resignation is accepted in writing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.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Council or to </w:t>
      </w:r>
      <w:r>
        <w:rPr>
          <w:rFonts w:ascii="Times" w:hAnsi="Times" w:eastAsia="Times"/>
          <w:b w:val="0"/>
          <w:i w:val="0"/>
          <w:color w:val="221F1F"/>
          <w:sz w:val="20"/>
        </w:rPr>
        <w:t>serve the Council in any other capacity.</w:t>
      </w:r>
    </w:p>
    <w:p>
      <w:pPr>
        <w:autoSpaceDN w:val="0"/>
        <w:autoSpaceDE w:val="0"/>
        <w:widowControl/>
        <w:spacing w:line="245" w:lineRule="auto" w:before="7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 shall, subject to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6, appoint another person to fill such vacancy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hold office for the un-expired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the term of office of the member whom he succeeds.</w:t>
      </w:r>
    </w:p>
    <w:p>
      <w:pPr>
        <w:autoSpaceDN w:val="0"/>
        <w:autoSpaceDE w:val="0"/>
        <w:widowControl/>
        <w:spacing w:line="245" w:lineRule="auto" w:before="7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appointed member of the Council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 having regard to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6, appoint any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>to act in place of such member during his absence.</w:t>
      </w:r>
    </w:p>
    <w:p>
      <w:pPr>
        <w:autoSpaceDN w:val="0"/>
        <w:autoSpaceDE w:val="0"/>
        <w:widowControl/>
        <w:spacing w:line="245" w:lineRule="auto" w:before="74" w:after="38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Council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the Council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prior excuse for absence from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deemed to have vacated his office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the third meeting and the President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in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0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Council.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35" w:lineRule="auto" w:before="36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Chief Innovation Officer of the Agency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14 shall summon all meetings of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Council.</w:t>
            </w:r>
          </w:p>
        </w:tc>
      </w:tr>
    </w:tbl>
    <w:p>
      <w:pPr>
        <w:autoSpaceDN w:val="0"/>
        <w:tabs>
          <w:tab w:pos="3024" w:val="left"/>
        </w:tabs>
        <w:autoSpaceDE w:val="0"/>
        <w:widowControl/>
        <w:spacing w:line="245" w:lineRule="auto" w:before="3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members may attend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 in person or through electronic means.</w:t>
      </w:r>
    </w:p>
    <w:p>
      <w:pPr>
        <w:autoSpaceDN w:val="0"/>
        <w:autoSpaceDE w:val="0"/>
        <w:widowControl/>
        <w:spacing w:line="238" w:lineRule="auto" w:before="11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subsection “electronic means”</w:t>
      </w:r>
    </w:p>
    <w:p>
      <w:pPr>
        <w:autoSpaceDN w:val="0"/>
        <w:autoSpaceDE w:val="0"/>
        <w:widowControl/>
        <w:spacing w:line="235" w:lineRule="auto" w:before="0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mean, video conferencing and web conferencing.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14" w:after="0"/>
        <w:ind w:left="0" w:right="43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 2019</w:t>
      </w:r>
    </w:p>
    <w:p>
      <w:pPr>
        <w:autoSpaceDN w:val="0"/>
        <w:autoSpaceDE w:val="0"/>
        <w:widowControl/>
        <w:spacing w:line="245" w:lineRule="auto" w:before="2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 act or proceeding of the Council shall be invalid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reason only of the existence of a vacancy in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>or any defect in the appointment of a member of the Council.</w:t>
      </w:r>
    </w:p>
    <w:p>
      <w:pPr>
        <w:autoSpaceDN w:val="0"/>
        <w:autoSpaceDE w:val="0"/>
        <w:widowControl/>
        <w:spacing w:line="245" w:lineRule="auto" w:before="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or in his absence any member elected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autoSpaceDN w:val="0"/>
        <w:autoSpaceDE w:val="0"/>
        <w:widowControl/>
        <w:spacing w:line="245" w:lineRule="auto" w:before="72" w:after="9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quorum for any meeting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members. Where there is an equality of votes,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of the Council shall in addition to his vote </w:t>
      </w:r>
      <w:r>
        <w:rPr>
          <w:rFonts w:ascii="Times" w:hAnsi="Times" w:eastAsia="Times"/>
          <w:b w:val="0"/>
          <w:i w:val="0"/>
          <w:color w:val="221F1F"/>
          <w:sz w:val="20"/>
        </w:rPr>
        <w:t>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60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Council may whenever it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invite experts to any meeting of the Council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expertise on any subject which will be dealt with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Council at such meeting for the purpose of obtaining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views on such subject matter for the effective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functions of the Council so however, the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have the absolute discretion of accepting or rejecting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views of the experts.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invite experts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meetings.</w:t>
            </w:r>
          </w:p>
        </w:tc>
      </w:tr>
    </w:tbl>
    <w:p>
      <w:pPr>
        <w:autoSpaceDN w:val="0"/>
        <w:autoSpaceDE w:val="0"/>
        <w:widowControl/>
        <w:spacing w:line="245" w:lineRule="auto" w:before="12" w:after="9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experts shall be paid such remuneration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Council and shall have no voting </w:t>
      </w:r>
      <w:r>
        <w:rPr>
          <w:rFonts w:ascii="Times" w:hAnsi="Times" w:eastAsia="Times"/>
          <w:b w:val="0"/>
          <w:i w:val="0"/>
          <w:color w:val="221F1F"/>
          <w:sz w:val="20"/>
        </w:rPr>
        <w:t>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95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3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members of the Council may be paid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remuneration as may be determined by the President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attending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Agency.</w:t>
            </w:r>
          </w:p>
        </w:tc>
      </w:tr>
      <w:tr>
        <w:trPr>
          <w:trHeight w:hRule="exact" w:val="34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seal of the Agency–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determined by the Council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altered in such manner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Council;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 the custody of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Council may determine,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affixed to any instrument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document except with the sanction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Council and in the presence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members of the Council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sign the instrument or document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token of their presence.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maintain a register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Agency </w:t>
      </w:r>
      <w:r>
        <w:rPr>
          <w:rFonts w:ascii="Times" w:hAnsi="Times" w:eastAsia="Times"/>
          <w:b w:val="0"/>
          <w:i w:val="0"/>
          <w:color w:val="221F1F"/>
          <w:sz w:val="20"/>
        </w:rPr>
        <w:t>is 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68" w:val="left"/>
          <w:tab w:pos="4418" w:val="left"/>
        </w:tabs>
        <w:autoSpaceDE w:val="0"/>
        <w:widowControl/>
        <w:spacing w:line="228" w:lineRule="exact" w:before="38" w:after="0"/>
        <w:ind w:left="2800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autoSpaceDE w:val="0"/>
        <w:widowControl/>
        <w:spacing w:line="238" w:lineRule="auto" w:before="258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52" w:after="192"/>
        <w:ind w:left="0" w:right="1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NNOVATION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Innovation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Agency.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appointed by the President in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Council, subject to such terms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determined by the Council, a person possessing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postgraduate degree in science, technology or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with innovation as a subject, from a recongnized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University,  with  proven  management experience to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Innovation Officer of the Agency. He may attend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Council but shall not be entitled to vote at </w:t>
      </w:r>
      <w:r>
        <w:rPr>
          <w:rFonts w:ascii="Times" w:hAnsi="Times" w:eastAsia="Times"/>
          <w:b w:val="0"/>
          <w:i w:val="0"/>
          <w:color w:val="000000"/>
          <w:sz w:val="20"/>
        </w:rPr>
        <w:t>any such meeting.</w:t>
      </w:r>
    </w:p>
    <w:p>
      <w:pPr>
        <w:autoSpaceDN w:val="0"/>
        <w:autoSpaceDE w:val="0"/>
        <w:widowControl/>
        <w:spacing w:line="247" w:lineRule="auto" w:before="252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Chief Innovation Officer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directions of the Council be responsible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Agency.</w:t>
      </w:r>
    </w:p>
    <w:p>
      <w:pPr>
        <w:autoSpaceDN w:val="0"/>
        <w:autoSpaceDE w:val="0"/>
        <w:widowControl/>
        <w:spacing w:line="247" w:lineRule="auto" w:before="252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Chief Innovation Officer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as may be determined by the President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47" w:lineRule="auto" w:before="252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may on the recommendation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and for reasons assigned therefor remove from office </w:t>
      </w:r>
      <w:r>
        <w:rPr>
          <w:rFonts w:ascii="Times" w:hAnsi="Times" w:eastAsia="Times"/>
          <w:b w:val="0"/>
          <w:i w:val="0"/>
          <w:color w:val="000000"/>
          <w:sz w:val="20"/>
        </w:rPr>
        <w:t>the Chief Innovation Officer appointed under this section.</w:t>
      </w:r>
    </w:p>
    <w:p>
      <w:pPr>
        <w:autoSpaceDN w:val="0"/>
        <w:tabs>
          <w:tab w:pos="2786" w:val="left"/>
          <w:tab w:pos="3026" w:val="left"/>
          <w:tab w:pos="3472" w:val="left"/>
        </w:tabs>
        <w:autoSpaceDE w:val="0"/>
        <w:widowControl/>
        <w:spacing w:line="247" w:lineRule="auto" w:before="252" w:after="0"/>
        <w:ind w:left="12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of the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Agency may appoint such number of officers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staff of the Agency.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employees as it may consider necessary for the efficient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functions.</w:t>
      </w:r>
    </w:p>
    <w:p>
      <w:pPr>
        <w:autoSpaceDN w:val="0"/>
        <w:tabs>
          <w:tab w:pos="3026" w:val="left"/>
        </w:tabs>
        <w:autoSpaceDE w:val="0"/>
        <w:widowControl/>
        <w:spacing w:line="245" w:lineRule="auto" w:before="252" w:after="0"/>
        <w:ind w:left="2786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Agency may in respect of the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>employees appointed under subsection (1)-</w:t>
      </w:r>
    </w:p>
    <w:p>
      <w:pPr>
        <w:autoSpaceDN w:val="0"/>
        <w:tabs>
          <w:tab w:pos="3746" w:val="left"/>
        </w:tabs>
        <w:autoSpaceDE w:val="0"/>
        <w:widowControl/>
        <w:spacing w:line="245" w:lineRule="auto" w:before="252" w:after="0"/>
        <w:ind w:left="332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and employees;</w:t>
      </w:r>
    </w:p>
    <w:p>
      <w:pPr>
        <w:autoSpaceDN w:val="0"/>
        <w:tabs>
          <w:tab w:pos="3746" w:val="left"/>
        </w:tabs>
        <w:autoSpaceDE w:val="0"/>
        <w:widowControl/>
        <w:spacing w:line="247" w:lineRule="auto" w:before="252" w:after="0"/>
        <w:ind w:left="3328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employment of such officers and employees;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52" w:val="left"/>
          <w:tab w:pos="6034" w:val="left"/>
        </w:tabs>
        <w:autoSpaceDE w:val="0"/>
        <w:widowControl/>
        <w:spacing w:line="248" w:lineRule="exact" w:before="0" w:after="0"/>
        <w:ind w:left="270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tabs>
          <w:tab w:pos="2392" w:val="left"/>
        </w:tabs>
        <w:autoSpaceDE w:val="0"/>
        <w:widowControl/>
        <w:spacing w:line="247" w:lineRule="auto" w:before="258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fix as may be determined by the Council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to whom the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Finance is assigned, the rates at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and employees shall be remunerated; and</w:t>
      </w:r>
    </w:p>
    <w:p>
      <w:pPr>
        <w:autoSpaceDN w:val="0"/>
        <w:tabs>
          <w:tab w:pos="2392" w:val="left"/>
        </w:tabs>
        <w:autoSpaceDE w:val="0"/>
        <w:widowControl/>
        <w:spacing w:line="247" w:lineRule="auto" w:before="252" w:after="192"/>
        <w:ind w:left="198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 staff welfare and social security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benefit of such officers and employees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make contributions to any such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in the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 Officers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</w:tr>
      <w:tr>
        <w:trPr>
          <w:trHeight w:hRule="exact" w:val="7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32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service may, with the consent of that officer and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Public Service Commission be temporarily appointed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staff of the Agency for such period as may be determined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Council, or with like consent, be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such staff.</w:t>
      </w:r>
    </w:p>
    <w:p>
      <w:pPr>
        <w:autoSpaceDN w:val="0"/>
        <w:autoSpaceDE w:val="0"/>
        <w:widowControl/>
        <w:spacing w:line="247" w:lineRule="auto" w:before="252" w:after="0"/>
        <w:ind w:left="1432" w:right="27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7" w:lineRule="auto" w:before="252" w:after="192"/>
        <w:ind w:left="1432" w:right="27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any officer in the public service is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Agency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Council, any officer or other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Higher educational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 Agency.</w:t>
            </w:r>
          </w:p>
        </w:tc>
      </w:tr>
      <w:tr>
        <w:trPr>
          <w:trHeight w:hRule="exact" w:val="9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32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 of any Higher Educational Institution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Universities  Act, No. 16 of 1978 may,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consent of that officer or the employee and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that Higher Educational Institution,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432" w:right="27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appointed to the staff of the Agency. 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with like consent be permanently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staff, on such terms and conditions, including those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pension or provident fund rights, as may be agreed </w:t>
      </w:r>
      <w:r>
        <w:rPr>
          <w:rFonts w:ascii="Times" w:hAnsi="Times" w:eastAsia="Times"/>
          <w:b w:val="0"/>
          <w:i w:val="0"/>
          <w:color w:val="000000"/>
          <w:sz w:val="20"/>
        </w:rPr>
        <w:t>upon by the Council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68" w:val="left"/>
          <w:tab w:pos="4418" w:val="left"/>
        </w:tabs>
        <w:autoSpaceDE w:val="0"/>
        <w:widowControl/>
        <w:spacing w:line="228" w:lineRule="exact" w:before="38" w:after="0"/>
        <w:ind w:left="2800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autoSpaceDE w:val="0"/>
        <w:widowControl/>
        <w:spacing w:line="245" w:lineRule="auto" w:before="246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person is temporarily appointed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under subsection (1) such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same disciplinary control as any other member </w:t>
      </w:r>
      <w:r>
        <w:rPr>
          <w:rFonts w:ascii="Times" w:hAnsi="Times" w:eastAsia="Times"/>
          <w:b w:val="0"/>
          <w:i w:val="0"/>
          <w:color w:val="000000"/>
          <w:sz w:val="20"/>
        </w:rPr>
        <w:t>of the staff of the Agency.</w:t>
      </w:r>
    </w:p>
    <w:p>
      <w:pPr>
        <w:autoSpaceDN w:val="0"/>
        <w:autoSpaceDE w:val="0"/>
        <w:widowControl/>
        <w:spacing w:line="238" w:lineRule="auto" w:before="228" w:after="0"/>
        <w:ind w:left="0" w:right="3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28" w:after="168"/>
        <w:ind w:left="0" w:right="3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have its own Fund.</w:t>
            </w:r>
          </w:p>
        </w:tc>
      </w:tr>
      <w:tr>
        <w:trPr>
          <w:trHeight w:hRule="exact" w:val="21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168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76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18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voted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Parliament, from time to time, for the use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Agency;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Agency for the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of its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and for the promotion of the objects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Agency, by way of gifts, grants, loans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 and bequests from any source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or outside Sri Lanka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proviso to section 4(k);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06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such sums of money as may be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Agency by way of fees, royalties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charges under this Act.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Agency in the exercise, performance and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year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of accounts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Agency.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Agency shall be the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</w:tr>
    </w:tbl>
    <w:p>
      <w:pPr>
        <w:autoSpaceDN w:val="0"/>
        <w:autoSpaceDE w:val="0"/>
        <w:widowControl/>
        <w:spacing w:line="245" w:lineRule="auto" w:before="48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Agency shall cause proper books of accounts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the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financial transactions of the Agency.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52" w:val="left"/>
          <w:tab w:pos="6034" w:val="left"/>
        </w:tabs>
        <w:autoSpaceDE w:val="0"/>
        <w:widowControl/>
        <w:spacing w:line="248" w:lineRule="exact" w:before="0" w:after="0"/>
        <w:ind w:left="270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autoSpaceDE w:val="0"/>
        <w:widowControl/>
        <w:spacing w:line="245" w:lineRule="auto" w:before="250" w:after="0"/>
        <w:ind w:left="1432" w:right="278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Agency.</w:t>
      </w:r>
    </w:p>
    <w:p>
      <w:pPr>
        <w:autoSpaceDN w:val="0"/>
        <w:autoSpaceDE w:val="0"/>
        <w:widowControl/>
        <w:spacing w:line="238" w:lineRule="auto" w:before="246" w:after="0"/>
        <w:ind w:left="0" w:right="4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42" w:after="186"/>
        <w:ind w:left="0" w:right="48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Agency shall within six months of the end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 Reports.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32" w:right="27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each financial year submit to the President an annual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activities carried out by the Agency. 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shall be attached to such report:-</w:t>
      </w:r>
    </w:p>
    <w:p>
      <w:pPr>
        <w:autoSpaceDN w:val="0"/>
        <w:tabs>
          <w:tab w:pos="2152" w:val="left"/>
        </w:tabs>
        <w:autoSpaceDE w:val="0"/>
        <w:widowControl/>
        <w:spacing w:line="245" w:lineRule="auto" w:before="246" w:after="0"/>
        <w:ind w:left="17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audited accounts of the Agency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along with the Auditor-General’s report;</w:t>
      </w:r>
    </w:p>
    <w:p>
      <w:pPr>
        <w:autoSpaceDN w:val="0"/>
        <w:tabs>
          <w:tab w:pos="2152" w:val="left"/>
        </w:tabs>
        <w:autoSpaceDE w:val="0"/>
        <w:widowControl/>
        <w:spacing w:line="245" w:lineRule="auto" w:before="246" w:after="0"/>
        <w:ind w:left="17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of proposed activities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 the year to which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accounts relate; and</w:t>
      </w:r>
    </w:p>
    <w:p>
      <w:pPr>
        <w:autoSpaceDN w:val="0"/>
        <w:tabs>
          <w:tab w:pos="2152" w:val="left"/>
        </w:tabs>
        <w:autoSpaceDE w:val="0"/>
        <w:widowControl/>
        <w:spacing w:line="245" w:lineRule="auto" w:before="246" w:after="0"/>
        <w:ind w:left="174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report on the effectiveness of investment,  policies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strategies on innovation and entrepreneurship.</w:t>
      </w:r>
    </w:p>
    <w:p>
      <w:pPr>
        <w:autoSpaceDN w:val="0"/>
        <w:autoSpaceDE w:val="0"/>
        <w:widowControl/>
        <w:spacing w:line="245" w:lineRule="auto" w:before="246" w:after="186"/>
        <w:ind w:left="1432" w:right="278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 within three months from the date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receipt of the annual report, table such report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specified in subsection (1) in Parliament for </w:t>
      </w:r>
      <w:r>
        <w:rPr>
          <w:rFonts w:ascii="Times" w:hAnsi="Times" w:eastAsia="Times"/>
          <w:b w:val="0"/>
          <w:i w:val="0"/>
          <w:color w:val="000000"/>
          <w:sz w:val="20"/>
        </w:rPr>
        <w:t>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Councils, and officers and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Declaration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secrecy.</w:t>
            </w:r>
          </w:p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Agency shall before entering upon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432" w:right="27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sign a declaration pledging himself to observe strict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secrecy respecting all matters connected with the working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Agency and shall by such declaration pledge himself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disclose any matter which may come to his knowledge </w:t>
      </w:r>
      <w:r>
        <w:rPr>
          <w:rFonts w:ascii="Times" w:hAnsi="Times" w:eastAsia="Times"/>
          <w:b w:val="0"/>
          <w:i w:val="0"/>
          <w:color w:val="000000"/>
          <w:sz w:val="20"/>
        </w:rPr>
        <w:t>in the discharge of his functions, except–</w:t>
      </w:r>
    </w:p>
    <w:p>
      <w:pPr>
        <w:autoSpaceDN w:val="0"/>
        <w:tabs>
          <w:tab w:pos="2152" w:val="left"/>
        </w:tabs>
        <w:autoSpaceDE w:val="0"/>
        <w:widowControl/>
        <w:spacing w:line="238" w:lineRule="auto" w:before="242" w:after="0"/>
        <w:ind w:left="17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required to do so by a court of law; or</w:t>
      </w:r>
    </w:p>
    <w:p>
      <w:pPr>
        <w:autoSpaceDN w:val="0"/>
        <w:tabs>
          <w:tab w:pos="2152" w:val="left"/>
        </w:tabs>
        <w:autoSpaceDE w:val="0"/>
        <w:widowControl/>
        <w:spacing w:line="245" w:lineRule="auto" w:before="246" w:after="0"/>
        <w:ind w:left="17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comply with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68" w:val="left"/>
          <w:tab w:pos="4418" w:val="left"/>
        </w:tabs>
        <w:autoSpaceDE w:val="0"/>
        <w:widowControl/>
        <w:spacing w:line="228" w:lineRule="exact" w:before="38" w:after="198"/>
        <w:ind w:left="2800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may, from time to time, issue such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or special directions to the Council relating to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78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the powers,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duties under this Act and it shall be the duty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Council to comply with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Agency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public servants.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Agency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a 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  <w:p>
            <w:pPr>
              <w:autoSpaceDN w:val="0"/>
              <w:autoSpaceDE w:val="0"/>
              <w:widowControl/>
              <w:spacing w:line="238" w:lineRule="auto" w:before="390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officers and Employees of the Agency shall be</w:t>
            </w:r>
          </w:p>
        </w:tc>
      </w:tr>
      <w:tr>
        <w:trPr>
          <w:trHeight w:hRule="exact" w:val="1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1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public servants within the meaning and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Penal Code.</w:t>
            </w:r>
          </w:p>
          <w:p>
            <w:pPr>
              <w:autoSpaceDN w:val="0"/>
              <w:autoSpaceDE w:val="0"/>
              <w:widowControl/>
              <w:spacing w:line="250" w:lineRule="auto" w:before="264" w:after="0"/>
              <w:ind w:left="166" w:right="7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Agency shall be deemed to be a scheduled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within the meaning of the Bribery Act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accordingly apply.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may subject to the provisions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make rules in respect of any matter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15 and generally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Agency.</w:t>
      </w:r>
    </w:p>
    <w:p>
      <w:pPr>
        <w:autoSpaceDN w:val="0"/>
        <w:tabs>
          <w:tab w:pos="3026" w:val="left"/>
        </w:tabs>
        <w:autoSpaceDE w:val="0"/>
        <w:widowControl/>
        <w:spacing w:line="247" w:lineRule="auto" w:before="266" w:after="204"/>
        <w:ind w:left="2786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may make regulations in respect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matters which are required by this Act to be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respect of all matters for which regulations are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autoSpaceDE w:val="0"/>
        <w:widowControl/>
        <w:spacing w:line="252" w:lineRule="auto" w:before="266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President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upon such publication or on such later date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specified in the regulation.</w:t>
      </w:r>
    </w:p>
    <w:p>
      <w:pPr>
        <w:autoSpaceDN w:val="0"/>
        <w:autoSpaceDE w:val="0"/>
        <w:widowControl/>
        <w:spacing w:line="254" w:lineRule="auto" w:before="264" w:after="0"/>
        <w:ind w:left="278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President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within three months from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before Parliament for approval. 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from the date of such disapproval but without </w:t>
      </w:r>
      <w:r>
        <w:rPr>
          <w:rFonts w:ascii="Times" w:hAnsi="Times" w:eastAsia="Times"/>
          <w:b w:val="0"/>
          <w:i w:val="0"/>
          <w:color w:val="000000"/>
          <w:sz w:val="20"/>
        </w:rPr>
        <w:t>prejudice to anything 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52" w:val="left"/>
          <w:tab w:pos="6034" w:val="left"/>
        </w:tabs>
        <w:autoSpaceDE w:val="0"/>
        <w:widowControl/>
        <w:spacing w:line="248" w:lineRule="exact" w:before="0" w:after="0"/>
        <w:ind w:left="270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tabs>
          <w:tab w:pos="1672" w:val="left"/>
        </w:tabs>
        <w:autoSpaceDE w:val="0"/>
        <w:widowControl/>
        <w:spacing w:line="245" w:lineRule="auto" w:before="250" w:after="182"/>
        <w:ind w:left="1432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Notice of the date from which a regulation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5" w:lineRule="auto" w:before="186" w:after="0"/>
        <w:ind w:left="0" w:right="46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“innovation” includes–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246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novel technological model, utility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model or industrial design;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246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product, process, service or idea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novel;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246" w:after="0"/>
        <w:ind w:left="294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improved use of a new product,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or method in industry,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or society;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246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indigenous or traditional knowledge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gained by people by making use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natural resources, including plants,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animals and the environment; and</w:t>
      </w:r>
    </w:p>
    <w:p>
      <w:pPr>
        <w:autoSpaceDN w:val="0"/>
        <w:tabs>
          <w:tab w:pos="3352" w:val="left"/>
        </w:tabs>
        <w:autoSpaceDE w:val="0"/>
        <w:widowControl/>
        <w:spacing w:line="245" w:lineRule="auto" w:before="246" w:after="0"/>
        <w:ind w:left="294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Intellectual Property Act, No.36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2003, any other non-patentable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creations or improvements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deemed as deserving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and protection or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sui generis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intellectual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rights,</w:t>
      </w:r>
    </w:p>
    <w:p>
      <w:pPr>
        <w:autoSpaceDN w:val="0"/>
        <w:autoSpaceDE w:val="0"/>
        <w:widowControl/>
        <w:spacing w:line="245" w:lineRule="auto" w:before="246" w:after="0"/>
        <w:ind w:left="2872" w:right="27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fields of social innovation, science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technology innovation, defence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eco innovation and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innovation, and “innovator”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autoSpaceDE w:val="0"/>
        <w:widowControl/>
        <w:spacing w:line="245" w:lineRule="auto" w:before="246" w:after="0"/>
        <w:ind w:left="2872" w:right="278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assigned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Innovation Agency under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43 or 44 of the 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68" w:val="left"/>
          <w:tab w:pos="4418" w:val="left"/>
        </w:tabs>
        <w:autoSpaceDE w:val="0"/>
        <w:widowControl/>
        <w:spacing w:line="228" w:lineRule="exact" w:before="38" w:after="0"/>
        <w:ind w:left="2800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Innovation Agency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autoSpaceDE w:val="0"/>
        <w:widowControl/>
        <w:spacing w:line="245" w:lineRule="auto" w:before="68" w:after="0"/>
        <w:ind w:left="4226" w:right="14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“National Innovation Eco system” means,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diverse nature of participants and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organizations, institutions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people in the country that coexist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as a unit which is necessary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innovation;</w:t>
      </w:r>
    </w:p>
    <w:p>
      <w:pPr>
        <w:autoSpaceDN w:val="0"/>
        <w:autoSpaceDE w:val="0"/>
        <w:widowControl/>
        <w:spacing w:line="245" w:lineRule="auto" w:before="242" w:after="4"/>
        <w:ind w:left="4226" w:right="14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“Social Innovation Lab” means, a place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uses foresight and innovation tools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prototype and test development solutions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social problems, through citizen-centric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engagements to ensure they are agile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holistic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nation-wide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implementation;</w:t>
      </w:r>
    </w:p>
    <w:p>
      <w:pPr>
        <w:autoSpaceDN w:val="0"/>
        <w:autoSpaceDE w:val="0"/>
        <w:widowControl/>
        <w:spacing w:line="250" w:lineRule="auto" w:before="264" w:after="0"/>
        <w:ind w:left="4226" w:right="14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“Technology” means the application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to meet the goals,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 for sustainable development;</w:t>
      </w:r>
    </w:p>
    <w:p>
      <w:pPr>
        <w:autoSpaceDN w:val="0"/>
        <w:autoSpaceDE w:val="0"/>
        <w:widowControl/>
        <w:spacing w:line="252" w:lineRule="auto" w:before="264" w:after="0"/>
        <w:ind w:left="4226" w:right="14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“Traditional knowledge” means, the wisdom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developed over generations of holistic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traditional scientific utilization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lands, natural resources, and environment;</w:t>
      </w:r>
    </w:p>
    <w:p>
      <w:pPr>
        <w:autoSpaceDN w:val="0"/>
        <w:autoSpaceDE w:val="0"/>
        <w:widowControl/>
        <w:spacing w:line="252" w:lineRule="auto" w:before="266" w:after="204"/>
        <w:ind w:left="4226" w:right="14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“recognized University” means, a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or deem to be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Universities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16  of 1978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2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2"/>
        <w:ind w:left="0" w:right="0"/>
      </w:pPr>
    </w:p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Innovation Agency</w:t>
            </w:r>
          </w:p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40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22 of 2019</w:t>
      </w:r>
    </w:p>
    <w:p>
      <w:pPr>
        <w:autoSpaceDN w:val="0"/>
        <w:autoSpaceDE w:val="0"/>
        <w:widowControl/>
        <w:spacing w:line="245" w:lineRule="auto" w:before="8650" w:after="0"/>
        <w:ind w:left="158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