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8" w:lineRule="exact" w:before="430" w:after="0"/>
        <w:ind w:left="1872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12" w:lineRule="exact" w:before="674" w:after="0"/>
        <w:ind w:left="1584" w:right="144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CHAMBER  OF  CONSTRUCTION  INDUSTRY  OF </w:t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SRI  LANKA </w:t>
      </w:r>
      <w:r>
        <w:rPr>
          <w:rFonts w:ascii="TimesNewRoman,Bold" w:hAnsi="TimesNewRoman,Bold" w:eastAsia="TimesNewRoman,Bold"/>
          <w:b/>
          <w:i w:val="0"/>
          <w:color w:val="000000"/>
          <w:sz w:val="26"/>
        </w:rPr>
        <w:t xml:space="preserve"> (INCORPORATION)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6"/>
        </w:rPr>
        <w:t>ACT,  No.  23  OF 2019</w:t>
      </w:r>
    </w:p>
    <w:p>
      <w:pPr>
        <w:autoSpaceDN w:val="0"/>
        <w:autoSpaceDE w:val="0"/>
        <w:widowControl/>
        <w:spacing w:line="276" w:lineRule="exact" w:before="678" w:after="0"/>
        <w:ind w:left="0" w:right="282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[Certified on 18th of  November, 2019]</w:t>
      </w:r>
    </w:p>
    <w:p>
      <w:pPr>
        <w:autoSpaceDN w:val="0"/>
        <w:autoSpaceDE w:val="0"/>
        <w:widowControl/>
        <w:spacing w:line="244" w:lineRule="exact" w:before="352" w:after="0"/>
        <w:ind w:left="0" w:right="295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0" w:lineRule="exact" w:before="872" w:after="0"/>
        <w:ind w:left="1728" w:right="1584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November 22, 2019</w:t>
      </w:r>
    </w:p>
    <w:p>
      <w:pPr>
        <w:autoSpaceDN w:val="0"/>
        <w:autoSpaceDE w:val="0"/>
        <w:widowControl/>
        <w:spacing w:line="192" w:lineRule="exact" w:before="384" w:after="116"/>
        <w:ind w:left="2448" w:right="2304" w:firstLine="0"/>
        <w:jc w:val="center"/>
      </w:pP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PRINTING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BUREAU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COLOMBO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4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73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Price : Rs. 16.00</w:t>
            </w:r>
          </w:p>
          <w:p>
            <w:pPr>
              <w:autoSpaceDN w:val="0"/>
              <w:autoSpaceDE w:val="0"/>
              <w:widowControl/>
              <w:spacing w:line="212" w:lineRule="exact" w:before="734" w:after="0"/>
              <w:ind w:left="73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3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Postage : Rs. 15.00</w:t>
            </w:r>
          </w:p>
          <w:p>
            <w:pPr>
              <w:autoSpaceDN w:val="0"/>
              <w:autoSpaceDE w:val="0"/>
              <w:widowControl/>
              <w:spacing w:line="240" w:lineRule="auto" w:before="214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42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2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864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Chamber of Construction Industry of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Sri Lanka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(Incorporation) Act, No. 23 of 2019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164" w:after="0"/>
        <w:ind w:left="0" w:right="360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[Certified on 18th of November, 2019]</w:t>
      </w:r>
    </w:p>
    <w:p>
      <w:pPr>
        <w:autoSpaceDN w:val="0"/>
        <w:autoSpaceDE w:val="0"/>
        <w:widowControl/>
        <w:spacing w:line="266" w:lineRule="exact" w:before="240" w:after="0"/>
        <w:ind w:left="14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L.D.—O. (Inc.) 01/2015</w:t>
      </w:r>
    </w:p>
    <w:p>
      <w:pPr>
        <w:autoSpaceDN w:val="0"/>
        <w:autoSpaceDE w:val="0"/>
        <w:widowControl/>
        <w:spacing w:line="254" w:lineRule="exact" w:before="254" w:after="180"/>
        <w:ind w:left="1728" w:right="302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INCORPORATE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HAMBER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 xml:space="preserve">ONSTRUCTION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NDUSTRY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RI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L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660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4" w:after="0"/>
              <w:ind w:left="736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WHEREAS a Chamber called and known as the “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Chamber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Construction Industry of Sri Lanka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” has heretofore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registered under the Companies Act, No. 7 of 2007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purpose of effectually carrying out its objects and transacting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matters connected with the said Chamber according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rules agreed to by its members: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Preamble.</w:t>
            </w:r>
          </w:p>
        </w:tc>
      </w:tr>
    </w:tbl>
    <w:p>
      <w:pPr>
        <w:autoSpaceDN w:val="0"/>
        <w:autoSpaceDE w:val="0"/>
        <w:widowControl/>
        <w:spacing w:line="254" w:lineRule="exact" w:before="192" w:after="0"/>
        <w:ind w:left="1456" w:right="280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WHEREAS the said Chamber has heretofore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matters for which it was established and has applied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incorporated and it will be for the public advantage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grant the said application:</w:t>
      </w:r>
    </w:p>
    <w:p>
      <w:pPr>
        <w:autoSpaceDN w:val="0"/>
        <w:autoSpaceDE w:val="0"/>
        <w:widowControl/>
        <w:spacing w:line="254" w:lineRule="exact" w:before="254" w:after="182"/>
        <w:ind w:left="14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98"/>
        </w:trPr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4" w:val="left"/>
              </w:tabs>
              <w:autoSpaceDE w:val="0"/>
              <w:widowControl/>
              <w:spacing w:line="280" w:lineRule="exact" w:before="58" w:after="0"/>
              <w:ind w:left="97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Chamber of Construction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Industry of Sri Lanka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(Incorporation) Act, No. 23 of 2019.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title.</w:t>
            </w:r>
          </w:p>
          <w:p>
            <w:pPr>
              <w:autoSpaceDN w:val="0"/>
              <w:autoSpaceDE w:val="0"/>
              <w:widowControl/>
              <w:spacing w:line="192" w:lineRule="exact" w:before="588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Incorporation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Chamber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Construction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Industry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Sri Lanka.</w:t>
            </w:r>
          </w:p>
        </w:tc>
      </w:tr>
      <w:tr>
        <w:trPr>
          <w:trHeight w:hRule="exact" w:val="3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30"/>
        </w:trPr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" w:after="0"/>
              <w:ind w:left="736" w:right="10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Act, such and so many persons as now are members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Chamber of Construction Industry of Sri Lanka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(hereinafter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as the “Chamber”)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shall hereafter be admitted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members of the body corporate hereby constituted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have perpetual succession under the name and style of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Chamber of Construction Industry of Sri Lanka”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(hereinafter referred to as the “body corporate”) and by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name may sue and be sued with full power and authority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have, and use a common seal and to alter the  same at its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pleasure.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General objects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body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Corporate.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7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Chamber of Construction Industry of</w:t>
            </w:r>
          </w:p>
        </w:tc>
      </w:tr>
      <w:tr>
        <w:trPr>
          <w:trHeight w:hRule="exact" w:val="10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  <w:tab w:pos="702" w:val="left"/>
                <w:tab w:pos="776" w:val="left"/>
              </w:tabs>
              <w:autoSpaceDE w:val="0"/>
              <w:widowControl/>
              <w:spacing w:line="326" w:lineRule="exact" w:before="0" w:after="0"/>
              <w:ind w:left="182" w:right="576" w:firstLine="0"/>
              <w:jc w:val="left"/>
            </w:pP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Sri Lanka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(Incorporation) Act, No. 23 of 2019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general objects for which the body corporate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act as a representative body, to promote and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0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protect the interests of those engaged in construction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activities;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assist the relevant authorities to stimulate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development of national construction industry;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study issues of national significance and to make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recommendations;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establish panels of professionals in such areas in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0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projects relating to its members and to evaluate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issue reports and certificates on such projects;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act as a centre for recruitment of staff for member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0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firms in the national construction industry on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request of such firms;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secure contracts within and outside Sri Lanka for</w:t>
            </w:r>
          </w:p>
        </w:tc>
      </w:tr>
      <w:tr>
        <w:trPr>
          <w:trHeight w:hRule="exact" w:val="18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members of the body corporate upon receipt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registration of the Construction Industry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Development Authority and subject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provisions of the Construction Industry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Development Authority Act, No. 33 of 2014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standards and guidelines of the Construction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Industry Development Authority;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award scholarships and fellowships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furtherance and development of the local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construction industry;</w:t>
            </w:r>
          </w:p>
        </w:tc>
      </w:tr>
      <w:tr>
        <w:trPr>
          <w:trHeight w:hRule="exact" w:val="1318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conduct training courses and issue certificates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 the approval of the Tertiary and Vocational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Education Commission established under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2 of the Tertiary and Vocational Education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No. 20 of 1990;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37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Chamber of Construction Industry of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764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Body corporate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work of Ministry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or Department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 Govern-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ment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Provincial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Council.</w:t>
            </w:r>
          </w:p>
          <w:p>
            <w:pPr>
              <w:autoSpaceDN w:val="0"/>
              <w:autoSpaceDE w:val="0"/>
              <w:widowControl/>
              <w:spacing w:line="212" w:lineRule="exact" w:before="2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Management of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affairs of the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body corporate.</w:t>
            </w:r>
          </w:p>
        </w:tc>
      </w:tr>
      <w:tr>
        <w:trPr>
          <w:trHeight w:hRule="exact" w:val="360"/>
        </w:trPr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25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Sri Lanka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(Incorporation) Act, No. 23 of 2019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act as trustees, custodians or managers to funds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4"/>
        </w:trPr>
        <w:tc>
          <w:tcPr>
            <w:tcW w:type="dxa" w:w="5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4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subscribed or donated for the upliftment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construction industry.</w:t>
            </w:r>
          </w:p>
          <w:p>
            <w:pPr>
              <w:autoSpaceDN w:val="0"/>
              <w:tabs>
                <w:tab w:pos="978" w:val="left"/>
                <w:tab w:pos="1330" w:val="left"/>
              </w:tabs>
              <w:autoSpaceDE w:val="0"/>
              <w:widowControl/>
              <w:spacing w:line="244" w:lineRule="exact" w:before="258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objects of the body corporate shall be carried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out in such manner so as not to create any conflict between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work of the body corporate and any work being carried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out simultaneously by any Ministry or Department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  <w:p>
            <w:pPr>
              <w:autoSpaceDN w:val="0"/>
              <w:tabs>
                <w:tab w:pos="978" w:val="left"/>
                <w:tab w:pos="1346" w:val="left"/>
              </w:tabs>
              <w:autoSpaceDE w:val="0"/>
              <w:widowControl/>
              <w:spacing w:line="232" w:lineRule="exact" w:before="378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Subject to the provisions of this Act,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management and administration of the affairs of the body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corporate shall be carried out by a Board of Management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consisting of such number of office bearers as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specified by the rules made under section 7.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0"/>
        <w:ind w:left="1438" w:right="280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members of the Board of Management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Chamber that holds office on the day immediately preceding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date of commencement of this Act shall function as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Interim Committee of the body corporate until the first Board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Management is appointed or elected in the manner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provided for by rules made under section 7.</w:t>
      </w:r>
    </w:p>
    <w:p>
      <w:pPr>
        <w:autoSpaceDN w:val="0"/>
        <w:autoSpaceDE w:val="0"/>
        <w:widowControl/>
        <w:spacing w:line="234" w:lineRule="exact" w:before="234" w:after="0"/>
        <w:ind w:left="1438" w:right="2802" w:firstLine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Interim Committee shall have the power to make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rules for the interim administration of the body corporate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for election or appointment of the members of the first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Board of Management of the body corporate.</w:t>
      </w:r>
    </w:p>
    <w:p>
      <w:pPr>
        <w:autoSpaceDN w:val="0"/>
        <w:autoSpaceDE w:val="0"/>
        <w:widowControl/>
        <w:spacing w:line="234" w:lineRule="exact" w:before="234" w:after="0"/>
        <w:ind w:left="1438" w:right="280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Any decision of the Interim Committee shall be taken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the majority of its members present at such Committee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meeting.</w:t>
      </w:r>
    </w:p>
    <w:p>
      <w:pPr>
        <w:autoSpaceDN w:val="0"/>
        <w:autoSpaceDE w:val="0"/>
        <w:widowControl/>
        <w:spacing w:line="234" w:lineRule="exact" w:before="234" w:after="0"/>
        <w:ind w:left="1438" w:right="280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first Board of Management of the body corporate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appointed or elected within one year of the date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commencement of this Act.</w:t>
      </w:r>
    </w:p>
    <w:p>
      <w:pPr>
        <w:autoSpaceDN w:val="0"/>
        <w:autoSpaceDE w:val="0"/>
        <w:widowControl/>
        <w:spacing w:line="236" w:lineRule="exact" w:before="232" w:after="0"/>
        <w:ind w:left="1438" w:right="280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Every office bearer of the Board of Management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including the patrons and advisors, shall be appointed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elected for a period of three years and any such office bearer,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Chamber of Construction Industry of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Sri Lanka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(Incorporation) Act, No. 23 of 2019</w:t>
            </w:r>
          </w:p>
        </w:tc>
      </w:tr>
    </w:tbl>
    <w:p>
      <w:pPr>
        <w:autoSpaceDN w:val="0"/>
        <w:autoSpaceDE w:val="0"/>
        <w:widowControl/>
        <w:spacing w:line="234" w:lineRule="exact" w:before="184" w:after="0"/>
        <w:ind w:left="278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patron or advisor shall be eligible for re-appointment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re-election after lapse of the said period of three years.</w:t>
      </w:r>
    </w:p>
    <w:p>
      <w:pPr>
        <w:autoSpaceDN w:val="0"/>
        <w:autoSpaceDE w:val="0"/>
        <w:widowControl/>
        <w:spacing w:line="234" w:lineRule="exact" w:before="234" w:after="0"/>
        <w:ind w:left="2782" w:right="1436" w:firstLine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bearer, the Board of Management shall, having regard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rules of the body corporate, elect or appoint a person to fill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vacancy.</w:t>
      </w:r>
    </w:p>
    <w:p>
      <w:pPr>
        <w:autoSpaceDN w:val="0"/>
        <w:autoSpaceDE w:val="0"/>
        <w:widowControl/>
        <w:spacing w:line="234" w:lineRule="exact" w:before="234" w:after="142"/>
        <w:ind w:left="2784" w:right="1436" w:firstLine="35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hold office only for the unexpired portion of the term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55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body corporate.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  <w:tab w:pos="756" w:val="left"/>
              </w:tabs>
              <w:autoSpaceDE w:val="0"/>
              <w:widowControl/>
              <w:spacing w:line="232" w:lineRule="exact" w:before="104" w:after="0"/>
              <w:ind w:left="16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 to the provisions of this Act and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written law, the body corporate shall have the power to do,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perform and execute all such acts and matters as are necessary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desirable for the promotion or furtherance of the objects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body corporate or any one of them, including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power—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3504" w:right="1436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purchase, acquire, rent, construct, renovate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otherwise obtain lands or buildings which may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for the purposes of the body corporate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deal with or dispose of the same as may be deemed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expedient with a view to promoting the objects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body corporate;</w:t>
      </w:r>
    </w:p>
    <w:p>
      <w:pPr>
        <w:autoSpaceDN w:val="0"/>
        <w:autoSpaceDE w:val="0"/>
        <w:widowControl/>
        <w:spacing w:line="234" w:lineRule="exact" w:before="234" w:after="0"/>
        <w:ind w:left="3504" w:right="1436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enter into and perform or carry out, whether directly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through any officer or agent authorized in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behalf by the body corporate, all such contracts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agreements as may be necessary for the attainment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objects or the exercise of the powers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body corporate;</w:t>
      </w:r>
    </w:p>
    <w:p>
      <w:pPr>
        <w:autoSpaceDN w:val="0"/>
        <w:autoSpaceDE w:val="0"/>
        <w:widowControl/>
        <w:spacing w:line="234" w:lineRule="exact" w:before="234" w:after="0"/>
        <w:ind w:left="3504" w:right="1436" w:hanging="33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borrow or raise funds with or without securities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to receive grants, gifts or donations in cash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kind:</w:t>
      </w:r>
    </w:p>
    <w:p>
      <w:pPr>
        <w:autoSpaceDN w:val="0"/>
        <w:autoSpaceDE w:val="0"/>
        <w:widowControl/>
        <w:spacing w:line="234" w:lineRule="exact" w:before="234" w:after="0"/>
        <w:ind w:left="3504" w:right="1296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that, the Board of Management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obtain the prior written approval of the Department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864" w:right="14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Chamber of Construction Industry of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Sri Lanka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(Incorporation) Act, No. 23 of 2019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4" w:lineRule="exact" w:before="184" w:after="0"/>
        <w:ind w:left="2158" w:right="280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Externeal Resources of the Ministry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assigned the subject of Finance, in respect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all foreign grants, gifts or donations made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body corporate;</w:t>
      </w:r>
    </w:p>
    <w:p>
      <w:pPr>
        <w:autoSpaceDN w:val="0"/>
        <w:autoSpaceDE w:val="0"/>
        <w:widowControl/>
        <w:spacing w:line="234" w:lineRule="exact" w:before="198" w:after="0"/>
        <w:ind w:left="2158" w:right="2802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 to make, draw, accept, discount, endorse, negotiate,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to open, operate, maintain and close accounts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any bank;</w:t>
      </w:r>
    </w:p>
    <w:p>
      <w:pPr>
        <w:autoSpaceDN w:val="0"/>
        <w:autoSpaceDE w:val="0"/>
        <w:widowControl/>
        <w:spacing w:line="234" w:lineRule="exact" w:before="200" w:after="0"/>
        <w:ind w:left="2158" w:right="2802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invest any funds that are not immediately required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the purposes of the body corporate, in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manner as the Board of Management may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determine;</w:t>
      </w:r>
    </w:p>
    <w:p>
      <w:pPr>
        <w:autoSpaceDN w:val="0"/>
        <w:autoSpaceDE w:val="0"/>
        <w:widowControl/>
        <w:spacing w:line="234" w:lineRule="exact" w:before="200" w:after="0"/>
        <w:ind w:left="2158" w:right="2802" w:hanging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undertake, accept, execute, perform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administer any lawful trust or any real or personal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body corproate;</w:t>
      </w:r>
    </w:p>
    <w:p>
      <w:pPr>
        <w:autoSpaceDN w:val="0"/>
        <w:autoSpaceDE w:val="0"/>
        <w:widowControl/>
        <w:spacing w:line="234" w:lineRule="exact" w:before="200" w:after="0"/>
        <w:ind w:left="2158" w:right="2802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appoint, employ, dismiss or terminate the services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officers and servants of the body corporate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them such salaries, allowances and gratuities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may be determined by the body corporate;</w:t>
      </w:r>
    </w:p>
    <w:p>
      <w:pPr>
        <w:autoSpaceDN w:val="0"/>
        <w:autoSpaceDE w:val="0"/>
        <w:widowControl/>
        <w:spacing w:line="234" w:lineRule="exact" w:before="200" w:after="0"/>
        <w:ind w:left="2158" w:right="2802" w:hanging="34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 to organize lectures, seminars and conferences with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view to promoting the objectives of the body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corporate;</w:t>
      </w:r>
    </w:p>
    <w:p>
      <w:pPr>
        <w:autoSpaceDN w:val="0"/>
        <w:autoSpaceDE w:val="0"/>
        <w:widowControl/>
        <w:spacing w:line="234" w:lineRule="exact" w:before="200" w:after="0"/>
        <w:ind w:left="2158" w:right="2802" w:hanging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liaise and co-ordinate with other local and foreign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institutions having similar objects to that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body corporate;</w:t>
      </w:r>
    </w:p>
    <w:p>
      <w:pPr>
        <w:autoSpaceDN w:val="0"/>
        <w:tabs>
          <w:tab w:pos="2158" w:val="left"/>
        </w:tabs>
        <w:autoSpaceDE w:val="0"/>
        <w:widowControl/>
        <w:spacing w:line="236" w:lineRule="exact" w:before="196" w:after="0"/>
        <w:ind w:left="185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j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train personnel within and outside Sri Lanka for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purposes of the body corporate;</w:t>
      </w:r>
    </w:p>
    <w:p>
      <w:pPr>
        <w:autoSpaceDN w:val="0"/>
        <w:autoSpaceDE w:val="0"/>
        <w:widowControl/>
        <w:spacing w:line="236" w:lineRule="exact" w:before="200" w:after="0"/>
        <w:ind w:left="2158" w:right="2802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establish, print and publish newspapers, trade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directories, journals, magazines or periodicals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relating to the activities of the body corporate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Chamber of Construction Industry of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Sri Lanka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(Incorporation) Act, No. 23 of 2019</w:t>
            </w:r>
          </w:p>
        </w:tc>
      </w:tr>
    </w:tbl>
    <w:p>
      <w:pPr>
        <w:autoSpaceDN w:val="0"/>
        <w:autoSpaceDE w:val="0"/>
        <w:widowControl/>
        <w:spacing w:line="252" w:lineRule="exact" w:before="180" w:after="0"/>
        <w:ind w:left="3502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matters pertaining to the construcion industry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disseminate such information in any manner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Board of Management may decide; and</w:t>
      </w:r>
    </w:p>
    <w:p>
      <w:pPr>
        <w:autoSpaceDN w:val="0"/>
        <w:autoSpaceDE w:val="0"/>
        <w:widowControl/>
        <w:spacing w:line="256" w:lineRule="exact" w:before="254" w:after="168"/>
        <w:ind w:left="3502" w:right="1436" w:hanging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do all other things as are necessary or expedient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the proper and effective carrying out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objects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body corporate.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16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It shall be lawful for the body corporate, from</w:t>
            </w:r>
          </w:p>
        </w:tc>
      </w:tr>
      <w:tr>
        <w:trPr>
          <w:trHeight w:hRule="exact" w:val="1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16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time to time, at any general meeting of the body corporate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by a majority of not less than two-thirds of the members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present and voting, to make rules, not inconsistent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provisions of this Act or any other written law, for all or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following matters:–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classification of membership, admission,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" w:after="0"/>
              <w:ind w:left="88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withdrawal, expulsion or resignation of members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fees payable by the members;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election of office bearers of the Board of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88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Management or vacation of or removal from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office bearers and the powers, duties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office bearers;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2" w:after="0"/>
              <w:ind w:left="88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functions and duties of various officers, agents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servants of the body corporate;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procedure to be followed for the summoning</w:t>
            </w:r>
          </w:p>
        </w:tc>
      </w:tr>
      <w:tr>
        <w:trPr>
          <w:trHeight w:hRule="exact" w:val="1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8" w:after="0"/>
              <w:ind w:left="88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holding of meetings of the Board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Management or any sub-committee thereof, notices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agenda of such  meetings, the quorum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conduct of business thereat;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qualifications and disqualifications to become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88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the Board of Management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body corporate;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30" w:val="left"/>
          <w:tab w:pos="6118" w:val="left"/>
        </w:tabs>
        <w:autoSpaceDE w:val="0"/>
        <w:widowControl/>
        <w:spacing w:line="252" w:lineRule="exact" w:before="0" w:after="0"/>
        <w:ind w:left="1956" w:right="273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Chamber of Construction Industry of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Sri Lanka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(Incorporation) Act, No. 23 of 2019</w:t>
      </w:r>
    </w:p>
    <w:p>
      <w:pPr>
        <w:autoSpaceDN w:val="0"/>
        <w:tabs>
          <w:tab w:pos="2158" w:val="left"/>
        </w:tabs>
        <w:autoSpaceDE w:val="0"/>
        <w:widowControl/>
        <w:spacing w:line="252" w:lineRule="exact" w:before="240" w:after="0"/>
        <w:ind w:left="179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body corporate;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exact" w:before="254" w:after="0"/>
        <w:ind w:left="17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generally the management of the affairs of the body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corporate and the accomplishment of its’ objects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dissolution of the body corporate.</w:t>
      </w:r>
    </w:p>
    <w:p>
      <w:pPr>
        <w:autoSpaceDN w:val="0"/>
        <w:autoSpaceDE w:val="0"/>
        <w:widowControl/>
        <w:spacing w:line="254" w:lineRule="exact" w:before="254" w:after="0"/>
        <w:ind w:left="1438" w:right="280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Any rule made by the body corporate may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amended, altered, added to or rescinded at a like meeting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in like manner, as a rule made under subsection (1)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section.</w:t>
      </w:r>
    </w:p>
    <w:p>
      <w:pPr>
        <w:autoSpaceDN w:val="0"/>
        <w:tabs>
          <w:tab w:pos="1678" w:val="left"/>
        </w:tabs>
        <w:autoSpaceDE w:val="0"/>
        <w:widowControl/>
        <w:spacing w:line="252" w:lineRule="exact" w:before="258" w:after="0"/>
        <w:ind w:left="143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rules made under subsection (1) shall be published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636" w:val="left"/>
        </w:tabs>
        <w:autoSpaceDE w:val="0"/>
        <w:widowControl/>
        <w:spacing w:line="254" w:lineRule="exact" w:before="254" w:after="180"/>
        <w:ind w:left="143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 The members of the body corporate shall at all times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Board of Management shall maintain a register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138" w:right="100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Register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members.</w:t>
            </w:r>
          </w:p>
          <w:p>
            <w:pPr>
              <w:autoSpaceDN w:val="0"/>
              <w:autoSpaceDE w:val="0"/>
              <w:widowControl/>
              <w:spacing w:line="192" w:lineRule="exact" w:before="616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body corporate.</w:t>
            </w:r>
          </w:p>
        </w:tc>
      </w:tr>
      <w:tr>
        <w:trPr>
          <w:trHeight w:hRule="exact" w:val="624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7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members in which name, address and other essential details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members shall be inscribed.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0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56" w:after="0"/>
        <w:ind w:left="1438" w:right="280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All moneys received by way of gift, bequest, donation,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subscription, contribution, fees or grants for and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account of the body corporate shall be deposited in one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 banks approved by the Board of Management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credit of the body corporate.</w:t>
      </w:r>
    </w:p>
    <w:p>
      <w:pPr>
        <w:autoSpaceDN w:val="0"/>
        <w:autoSpaceDE w:val="0"/>
        <w:widowControl/>
        <w:spacing w:line="254" w:lineRule="exact" w:before="252" w:after="182"/>
        <w:ind w:left="1438" w:right="280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There shall be paid out of the Fund, all sums of money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are required to defray any expenditure incurred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body corporate in the exercise, performance and discharge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0" w:lineRule="exact" w:before="98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(1) The financial year of the body corporate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Accounts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Auditing.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Chamber of Construction Industry of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Sri Lanka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(Incorporation) Act, No. 23 of 2019</w:t>
            </w:r>
          </w:p>
        </w:tc>
      </w:tr>
    </w:tbl>
    <w:p>
      <w:pPr>
        <w:autoSpaceDN w:val="0"/>
        <w:autoSpaceDE w:val="0"/>
        <w:widowControl/>
        <w:spacing w:line="234" w:lineRule="exact" w:before="184" w:after="0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body corporate shall cause proper accounts to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kept of its income and expenditure, assets and liabilities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all other transactions of the body corporate.</w:t>
      </w:r>
    </w:p>
    <w:p>
      <w:pPr>
        <w:autoSpaceDN w:val="0"/>
        <w:autoSpaceDE w:val="0"/>
        <w:widowControl/>
        <w:spacing w:line="234" w:lineRule="exact" w:before="234" w:after="0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accounts of the body corporate shall be audited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annually by the Auditor General or a qualified auditor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by the Auditor General in terms of provisions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 154 of the Constitution.</w:t>
      </w:r>
    </w:p>
    <w:p>
      <w:pPr>
        <w:autoSpaceDN w:val="0"/>
        <w:tabs>
          <w:tab w:pos="3022" w:val="left"/>
        </w:tabs>
        <w:autoSpaceDE w:val="0"/>
        <w:widowControl/>
        <w:spacing w:line="234" w:lineRule="exact" w:before="234" w:after="140"/>
        <w:ind w:left="278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(4) For the purpose of this section “qualified auditor”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34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26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Annual Report.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individual who, being a member of the Institute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Chartered Accountants of Sri Lanka or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 Institute established by law, possesses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certificate to practise as an Accountant, issued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Council of such Institute; or</w:t>
            </w:r>
          </w:p>
        </w:tc>
      </w:tr>
      <w:tr>
        <w:trPr>
          <w:trHeight w:hRule="exact" w:val="164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10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firm of Accountants, each of the resident partners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which, being a member of the Institute of Chartered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Accountants of Sri Lanka or of any other Institute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established by law, possesses a certificate to practise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an Accountant, issued by the Council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Institute.</w:t>
            </w:r>
          </w:p>
        </w:tc>
      </w:tr>
      <w:tr>
        <w:trPr>
          <w:trHeight w:hRule="exact" w:val="255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  <w:tab w:pos="874" w:val="left"/>
              </w:tabs>
              <w:autoSpaceDE w:val="0"/>
              <w:widowControl/>
              <w:spacing w:line="232" w:lineRule="exact" w:before="162" w:after="0"/>
              <w:ind w:left="18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11.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Board of Management shall prepare a report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activities of the body corporate for each financial year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submit such report together with the audited statement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accounts to the Secretary of the Ministry of the Minister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assigned the subject of Construction Industry and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Registrar of Voluntary Social Services Organizations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under the Voluntary Social Services Organization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(Registration and Supervision) Act, No. 31of 1980 before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expiration of six months of the year succeeding the year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which such report relates.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 separate account relating to the foreign and local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moneys received by the body corporate during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financial year shall be attached to the report referred to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5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37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Chamber of Construction Industry of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payable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Chamber.</w:t>
            </w:r>
          </w:p>
          <w:p>
            <w:pPr>
              <w:autoSpaceDN w:val="0"/>
              <w:autoSpaceDE w:val="0"/>
              <w:widowControl/>
              <w:spacing w:line="192" w:lineRule="exact" w:before="1218" w:after="0"/>
              <w:ind w:left="0" w:right="72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vested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 the Chamber.</w:t>
            </w:r>
          </w:p>
          <w:p>
            <w:pPr>
              <w:autoSpaceDN w:val="0"/>
              <w:autoSpaceDE w:val="0"/>
              <w:widowControl/>
              <w:spacing w:line="192" w:lineRule="exact" w:before="1400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Body corporate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may hold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movable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immovable.</w:t>
            </w:r>
          </w:p>
          <w:p>
            <w:pPr>
              <w:autoSpaceDN w:val="0"/>
              <w:autoSpaceDE w:val="0"/>
              <w:widowControl/>
              <w:spacing w:line="192" w:lineRule="exact" w:before="1560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moneys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property.</w:t>
            </w:r>
          </w:p>
          <w:p>
            <w:pPr>
              <w:autoSpaceDN w:val="0"/>
              <w:autoSpaceDE w:val="0"/>
              <w:widowControl/>
              <w:spacing w:line="192" w:lineRule="exact" w:before="1180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Seal of the body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corporate.</w:t>
            </w:r>
          </w:p>
        </w:tc>
      </w:tr>
      <w:tr>
        <w:trPr>
          <w:trHeight w:hRule="exact" w:val="2120"/>
        </w:trPr>
        <w:tc>
          <w:tcPr>
            <w:tcW w:type="dxa" w:w="5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25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Sri Lanka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(Incorporation) Act, No. 23 of 2019</w:t>
            </w:r>
          </w:p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52" w:lineRule="exact" w:before="250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12.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debts and liabilities of the Chamber existing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day immediately preceding the date of commencement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this Act, shall be paid by the body corporate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constituted and all debts due to and subscriptions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contributions payable to the Chamber on that day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paid to the body corporate for the purposes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0" w:right="10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 movable and immovable properties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0"/>
        </w:trPr>
        <w:tc>
          <w:tcPr>
            <w:tcW w:type="dxa" w:w="5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73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Chamber existing on the day preceeding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Act for all purposes shall be vested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body corporate hereby consituted, subject to any trust,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condition or provision of any written law affecting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properties.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2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 to the provisions of this Act,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body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0"/>
        </w:trPr>
        <w:tc>
          <w:tcPr>
            <w:tcW w:type="dxa" w:w="5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736" w:right="102" w:firstLine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corporate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shall be able and capable in law to take and hold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property, movable or immovable, which may become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vested in it by virtue of any purchase, grant, gift,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testamentary disposition or otherwise, and all such property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held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for the purpose of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 and subject to the rules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made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section 7, with power to sell, mortgage, lease,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exchange or otherwise dispose of the same.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moneys and property of the body corporate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0"/>
        </w:trPr>
        <w:tc>
          <w:tcPr>
            <w:tcW w:type="dxa" w:w="5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73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however derived, shall be applied solely towards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promotion of the objects of the body corporate and no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portion thereof shall be paid or transferred directly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indirectly by way of divident, bonus or profit to the members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body 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 seal of the body corporate shall not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50"/>
        </w:trPr>
        <w:tc>
          <w:tcPr>
            <w:tcW w:type="dxa" w:w="5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738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affixed to any instrument whatsoever, except in the presence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 two members of the Board of Management who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sign their names to the instrument in token of their presence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such signing shall be independent of the signing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person as a witness.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Chamber of Construction Industry of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Sri Lanka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(Incorporation) Act, No. 23 of 2019</w:t>
            </w:r>
          </w:p>
        </w:tc>
      </w:tr>
    </w:tbl>
    <w:p>
      <w:pPr>
        <w:autoSpaceDN w:val="0"/>
        <w:autoSpaceDE w:val="0"/>
        <w:widowControl/>
        <w:spacing w:line="252" w:lineRule="exact" w:before="180" w:after="0"/>
        <w:ind w:left="2782" w:right="1296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seal of the body corporate shall be in the custody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an office bearer of the Board of Management as may be</w:t>
      </w:r>
    </w:p>
    <w:p>
      <w:pPr>
        <w:autoSpaceDN w:val="0"/>
        <w:autoSpaceDE w:val="0"/>
        <w:widowControl/>
        <w:spacing w:line="268" w:lineRule="exact" w:before="0" w:after="158"/>
        <w:ind w:left="0" w:right="310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decided by the Board of Management.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00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dissolution.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  <w:tab w:pos="956" w:val="left"/>
              </w:tabs>
              <w:autoSpaceDE w:val="0"/>
              <w:widowControl/>
              <w:spacing w:line="230" w:lineRule="exact" w:before="106" w:after="0"/>
              <w:ind w:left="26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If upon the dissolution of the body corporate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 remains after the satisfaction of all its debts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liabilities, any property whatsoever, such property shall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distributed among the members of the body corporate,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but shall be given or transferred to any other institution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having objects similar to those of the body corporate,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is by the rules thereof, prohibited from distributing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income or property among its members.</w:t>
            </w:r>
          </w:p>
        </w:tc>
      </w:tr>
    </w:tbl>
    <w:p>
      <w:pPr>
        <w:autoSpaceDN w:val="0"/>
        <w:autoSpaceDE w:val="0"/>
        <w:widowControl/>
        <w:spacing w:line="230" w:lineRule="exact" w:before="184" w:after="154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For the purposes of subsection (1) the appropriate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institution shall be determined by the members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body corporate immediately before the dissolution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general meeting by the majority of votes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Republic.</w:t>
            </w:r>
          </w:p>
          <w:p>
            <w:pPr>
              <w:autoSpaceDN w:val="0"/>
              <w:autoSpaceDE w:val="0"/>
              <w:widowControl/>
              <w:spacing w:line="192" w:lineRule="exact" w:before="494" w:after="0"/>
              <w:ind w:left="682" w:right="1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inconsistency.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</w:tr>
      <w:tr>
        <w:trPr>
          <w:trHeight w:hRule="exact" w:val="62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12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affect the rights of the Republic or of any body politic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corporate.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8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12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4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598"/>
        </w:trPr>
        <w:tc>
          <w:tcPr>
            <w:tcW w:type="dxa" w:w="4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864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Chamber of Construction Industry of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Sri Lanka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(Incorporation) Act, No. 23 of 2019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12" w:lineRule="exact" w:before="8814" w:after="0"/>
        <w:ind w:left="14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RAKASHANA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IYASA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2" w:lineRule="exact" w:before="0" w:after="0"/>
        <w:ind w:left="20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OVERNMENT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RINTING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R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ANISTER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E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ILVA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AWATHA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OLOMBO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