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3636" w:val="left"/>
        </w:tabs>
        <w:autoSpaceDE w:val="0"/>
        <w:widowControl/>
        <w:spacing w:line="252" w:lineRule="auto" w:before="576" w:after="0"/>
        <w:ind w:left="2982" w:right="273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EVIDENCE (AMENDMENT)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6 OF 2021</w:t>
      </w:r>
    </w:p>
    <w:p>
      <w:pPr>
        <w:autoSpaceDN w:val="0"/>
        <w:autoSpaceDE w:val="0"/>
        <w:widowControl/>
        <w:spacing w:line="235" w:lineRule="auto" w:before="966" w:after="0"/>
        <w:ind w:left="0" w:right="29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22,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 (Amendment) Act, No. 6 of 2021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12" w:after="0"/>
        <w:ind w:left="0" w:right="36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8" w:lineRule="auto" w:before="22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45/2016</w:t>
      </w:r>
    </w:p>
    <w:p>
      <w:pPr>
        <w:autoSpaceDN w:val="0"/>
        <w:autoSpaceDE w:val="0"/>
        <w:widowControl/>
        <w:spacing w:line="235" w:lineRule="auto" w:before="196" w:after="0"/>
        <w:ind w:left="17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VIDENCE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14)</w:t>
      </w:r>
    </w:p>
    <w:p>
      <w:pPr>
        <w:autoSpaceDN w:val="0"/>
        <w:autoSpaceDE w:val="0"/>
        <w:widowControl/>
        <w:spacing w:line="238" w:lineRule="auto" w:before="19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5" w:lineRule="auto" w:before="0" w:after="138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Evidence (Amendment)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5" w:lineRule="auto" w:before="41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14</w:t>
            </w:r>
          </w:p>
          <w:p>
            <w:pPr>
              <w:autoSpaceDN w:val="0"/>
              <w:autoSpaceDE w:val="0"/>
              <w:widowControl/>
              <w:spacing w:line="247" w:lineRule="auto" w:before="72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50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6 of 2021.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5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 of the Evidence Ordinance (Chapter 14)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that section,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words, “waging war against the Queen.”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words, “waging war against the Republic”.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the illustration to that section, by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words, “ ‘A’ has joined in a conspiracy to wage war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the Queen” of the words, “ ‘A’ has joined in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conspiracy to wage war against the Republic”.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37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all the words starting from,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“contained in any Act of the Parliament of the United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Kingdom” to the words, “any part of such Realm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Territory, is a relevant fact.” of the words, “contained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any enactment of Sri Lanka or in the legislation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foreign country or in any proclamation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notification of the Government of Sri Lanka,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appearing in the Government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Sri Lanka,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 in any proclamation or notification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of any foreign country, appearing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official publication of the Government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country, is a relevant fact.”;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marginal note to that section,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for the words, “contained in any United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Kingdom Act, enactment or notification,”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words. “contained in any enactment or notification,”.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(Amendment) Act, No. 6 of 2021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57 of the principal enactment is hereby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(1)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for the words, “to be in force in any part of Ceylon;”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words, “to be in force in any part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Lanka;”;</w:t>
      </w:r>
    </w:p>
    <w:p>
      <w:pPr>
        <w:autoSpaceDN w:val="0"/>
        <w:tabs>
          <w:tab w:pos="3494" w:val="left"/>
          <w:tab w:pos="3502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paragraph (3) of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“war for Her Majesty’s Navy, Army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 force;” of the words, “war for the Sri Lanka Army,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Navy or Air force;”;</w:t>
      </w:r>
    </w:p>
    <w:p>
      <w:pPr>
        <w:autoSpaceDN w:val="0"/>
        <w:tabs>
          <w:tab w:pos="3494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(4) of that section-</w:t>
      </w:r>
    </w:p>
    <w:p>
      <w:pPr>
        <w:autoSpaceDN w:val="0"/>
        <w:tabs>
          <w:tab w:pos="3822" w:val="left"/>
          <w:tab w:pos="3844" w:val="left"/>
        </w:tabs>
        <w:autoSpaceDE w:val="0"/>
        <w:widowControl/>
        <w:spacing w:line="245" w:lineRule="auto" w:before="254" w:after="0"/>
        <w:ind w:left="34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words, “Parliament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of the Legislature of Ceylon;” of the words,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“the Legislature of Sri Lanka;” and</w:t>
      </w:r>
    </w:p>
    <w:p>
      <w:pPr>
        <w:autoSpaceDN w:val="0"/>
        <w:tabs>
          <w:tab w:pos="3822" w:val="left"/>
          <w:tab w:pos="3844" w:val="left"/>
        </w:tabs>
        <w:autoSpaceDE w:val="0"/>
        <w:widowControl/>
        <w:spacing w:line="245" w:lineRule="auto" w:before="254" w:after="0"/>
        <w:ind w:left="34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omission of the words starting from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explanation</w:t>
      </w:r>
      <w:r>
        <w:rPr>
          <w:rFonts w:ascii="Times" w:hAnsi="Times" w:eastAsia="Times"/>
          <w:b w:val="0"/>
          <w:i w:val="0"/>
          <w:color w:val="221F1F"/>
          <w:sz w:val="20"/>
        </w:rPr>
        <w:t>” to the words,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Northern Ireland.”;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paragraph (5) of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“the accession and the Sign Manual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Sovereigns for the time being of Ceylon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United Kingdom;” of the words, “the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Seal of the Republic of Sri Lanka;”;</w:t>
      </w:r>
    </w:p>
    <w:p>
      <w:pPr>
        <w:autoSpaceDN w:val="0"/>
        <w:tabs>
          <w:tab w:pos="3504" w:val="left"/>
        </w:tabs>
        <w:autoSpaceDE w:val="0"/>
        <w:widowControl/>
        <w:spacing w:line="250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substitution in paragraph (6) of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“all seals of which English courts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Judicial Notice; the seals of all the courts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Ceylon; the seals of Courts of Admiralty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maritime jurisdiction and of notaries public; and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seals which any person is authorized to use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of the Parliament of the United Kingdom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Law in force for the time being in Ceylon;”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words, “the seals of all the courts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of notaries public; and all seals which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1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Evidence  (Amendment) Act, No. 6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is authorized to use by any enactment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in force of the Legislature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of the Legislature of any foreign Country”;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paragraph (7) of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“any public office in any part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Ceylon,” of the words, “any public office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of Sri Lanka,”;</w:t>
      </w:r>
    </w:p>
    <w:p>
      <w:pPr>
        <w:autoSpaceDN w:val="0"/>
        <w:tabs>
          <w:tab w:pos="2156" w:val="left"/>
          <w:tab w:pos="2652" w:val="left"/>
          <w:tab w:pos="3158" w:val="left"/>
          <w:tab w:pos="3996" w:val="left"/>
          <w:tab w:pos="5246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paragraph (8) of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“Sovereign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Her Majesty;” of the words, “Sovereign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recognized by the Republic of Sri Lanka;”;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paragraph (10) of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“Her Majesty’s Realms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Territories;” of the words, “the territorial limits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Democratic Socialist Republic of Sri Lanka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its divisions;”;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paragraph (11) of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“between Her Majesty and any State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of persons;” of the words, “between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Republic of Sri Lanka and any foreign State or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persons;”; and</w:t>
      </w:r>
    </w:p>
    <w:p>
      <w:pPr>
        <w:autoSpaceDN w:val="0"/>
        <w:tabs>
          <w:tab w:pos="2158" w:val="left"/>
          <w:tab w:pos="2160" w:val="left"/>
        </w:tabs>
        <w:autoSpaceDE w:val="0"/>
        <w:widowControl/>
        <w:spacing w:line="245" w:lineRule="auto" w:before="254" w:after="194"/>
        <w:ind w:left="16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paragraph (12) of that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words, “advocates, proctors,” of the words,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“attorneys-at-law,”.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65 of the principal enactment is hereby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23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0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paragraph (6)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word, “Ceylon” of the words, “Sri Lanka”.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69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0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words, “executed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United Kingdom,” of the words, “executed in any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Country,”.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184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(Amendment) Act, No. 6 of 2021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74 of the principal enactment is hereby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subparagraph (iii) of paragraph</w:t>
            </w:r>
          </w:p>
        </w:tc>
      </w:tr>
      <w:tr>
        <w:trPr>
          <w:trHeight w:hRule="exact" w:val="9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that section, for the words, “Ceylon or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part of Her Majesty’s Realms and Territories,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 foreign country;” of the words, “Sri Lanka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foreign counrty;” and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section,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word, “Ceylon,” of the word, “Sri Lanka,”.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78 of the principal enactment is hereby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(1)  of that section,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“Government of Ceylon” of the words,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“Government of Sri Lanka”;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(3)  of that section,</w:t>
            </w:r>
          </w:p>
        </w:tc>
      </w:tr>
      <w:tr>
        <w:trPr>
          <w:trHeight w:hRule="exact" w:val="18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words, “issued by Her Majesty or by the Privy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Council, or by any department of Her Majesty’s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- by copies or extracts contained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London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or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Ceylon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purporting to be printed by the Queeen’s printer;”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words “issued by the President or any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department of Government-by copies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extracts contained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Sri Lanka;”;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sub-paragraph (iii) of</w:t>
            </w:r>
          </w:p>
        </w:tc>
      </w:tr>
      <w:tr>
        <w:trPr>
          <w:trHeight w:hRule="exact" w:val="7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paragraph (4) of that section for the words, “public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enactment of Ceylon;” of the words, “public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of Sri Lanka;”.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(5)  of that section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words, “Municipal body in Ceylon-”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“Municipal body in Sri Lanka-”; and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subparagraph (ii)  of paragraph</w:t>
            </w:r>
          </w:p>
        </w:tc>
      </w:tr>
      <w:tr>
        <w:trPr>
          <w:trHeight w:hRule="exact" w:val="6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of that section for the words, “of a British Consul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Diplomatic Agent,” of the words, “of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Ambassador, High Commissioner, or other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diplomatic agent of Sri Lanka,”.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 (Amendment) Act, No. 6 of 2021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8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8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words, “duly certified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officer in Ceylon,” of the words, “duly certified by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in Sri Lanka”.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46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all the words starting 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“every document purporting to be the London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”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words, “by the Queen’s printer,” of the words, “every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purporting to be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Ceylon or 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82 of the principal enactment is hereby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7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32"/>
        <w:ind w:left="0" w:right="18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85 of the principal enactment is hereby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4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words,  “British Consul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Vice - Consul, or representative of her Majesty, or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Governor - General of Ceylon, or of the Government of India,”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words, “an Ambassador or High Commissioner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 representative of Sri Lanka,”.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86 of the principal enactment is hereby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5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all the words starting 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“any country not forming part of Her Majesty’s Realms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Territories” to the words, “Government of India,” of the words,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198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“any counrty other than the Republic of Sri Lanka is genuine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accurate, if the document purports to be certified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which is certified by any representative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90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9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definition of the expression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“company” and 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398" w:val="left"/>
        </w:tabs>
        <w:autoSpaceDE w:val="0"/>
        <w:widowControl/>
        <w:spacing w:line="247" w:lineRule="auto" w:before="206" w:after="0"/>
        <w:ind w:left="21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““company” shall have the same meaning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it under the Companies Act, No. 7 of 2007.”.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90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26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25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2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111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(Amendment) Act, No. 6 of 2021</w:t>
            </w:r>
          </w:p>
        </w:tc>
      </w:tr>
      <w:tr>
        <w:trPr>
          <w:trHeight w:hRule="exact" w:val="1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68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“within Ceylon,”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“within Sri Lanka,”.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91 of the principal enactment is hereby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exception 2, to that section, by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word, “Ceylon” of the word, “Sri Lanka”.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100 of the principal enactment is hereby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word, “Ceylon,”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“Sri Lanka,”.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111 of the principal enactment is hereby</w:t>
            </w:r>
          </w:p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that section,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words, “a proctor” and “the proctor”</w:t>
            </w:r>
          </w:p>
        </w:tc>
      </w:tr>
    </w:tbl>
    <w:p>
      <w:pPr>
        <w:autoSpaceDN w:val="0"/>
        <w:autoSpaceDE w:val="0"/>
        <w:widowControl/>
        <w:spacing w:line="252" w:lineRule="auto" w:before="4" w:after="224"/>
        <w:ind w:left="2736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wherever those words appear in that illustration of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>respectively, “an attorney-at-law” and “the attorney-at -law”.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126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126 of the principal enactment is hereby</w:t>
            </w:r>
          </w:p>
        </w:tc>
      </w:tr>
      <w:tr>
        <w:trPr>
          <w:trHeight w:hRule="exact" w:val="542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words, “Advocate,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Proctor,” wherever those words appear in that section,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226"/>
        <w:ind w:left="0" w:right="4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words, “attorney-at-law”.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127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127 of the principal enactment is hereby</w:t>
            </w:r>
          </w:p>
        </w:tc>
      </w:tr>
      <w:tr>
        <w:trPr>
          <w:trHeight w:hRule="exact" w:val="544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words, “advocates,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proctors,” wherever those words appear in that section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224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words, “attorneys-at-law”.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128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128 of the principal enactment is hereby</w:t>
            </w:r>
          </w:p>
        </w:tc>
      </w:tr>
      <w:tr>
        <w:trPr>
          <w:trHeight w:hRule="exact" w:val="542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words, “advocate,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proctor,” wherever those words appear in that section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224"/>
        <w:ind w:left="0" w:right="4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words, “attorney-at-law”.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132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132 of the principal enactment is hereby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words,“her Majesty” of the words, “the State”.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 (Amendment) Act, No. 6 of 2021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149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that section,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words, “An Advocate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instructed by a proctor” of the words, “An attorney-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at- law is instructed”; and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47" w:lineRule="auto" w:before="254" w:after="19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illustration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that 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words, “A Proctor” and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proctor” wherever those words appear in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illustration, of the words respectively as, “An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Attorney-at- law” and “the Attorney-at- Law”.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150 of the principal enactment is hereby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39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84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words, “advocate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proctor”, wherever those words appear in that section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“attorney-at-law”.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7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2"/>
        <w:ind w:left="0" w:right="0"/>
      </w:pPr>
    </w:p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4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(Amendment) Act, No. 6 of 2021</w:t>
            </w:r>
          </w:p>
        </w:tc>
      </w:tr>
    </w:tbl>
    <w:p>
      <w:pPr>
        <w:autoSpaceDN w:val="0"/>
        <w:autoSpaceDE w:val="0"/>
        <w:widowControl/>
        <w:spacing w:line="238" w:lineRule="auto" w:before="89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