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688" w:after="0"/>
        <w:ind w:left="2016" w:right="187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CORONAVIRUS DISEASE 2019 (COVID - 19)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(TEMPORARY PROVISIONS)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ACT, No. 17 OF 2021</w:t>
      </w:r>
    </w:p>
    <w:p>
      <w:pPr>
        <w:autoSpaceDN w:val="0"/>
        <w:autoSpaceDE w:val="0"/>
        <w:widowControl/>
        <w:spacing w:line="238" w:lineRule="auto" w:before="748" w:after="0"/>
        <w:ind w:left="0" w:right="30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23rd of August 2021]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August 27,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008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Coronavirus Disease 2019 (COVID - 19)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(Temporary Provisions) Act, No. 17 of  2021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184" w:after="0"/>
        <w:ind w:left="0" w:right="37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23rd of August 2021]</w:t>
      </w:r>
    </w:p>
    <w:p>
      <w:pPr>
        <w:autoSpaceDN w:val="0"/>
        <w:autoSpaceDE w:val="0"/>
        <w:widowControl/>
        <w:spacing w:line="235" w:lineRule="auto" w:before="23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 19/2020</w:t>
      </w:r>
    </w:p>
    <w:p>
      <w:pPr>
        <w:autoSpaceDN w:val="0"/>
        <w:autoSpaceDE w:val="0"/>
        <w:widowControl/>
        <w:spacing w:line="235" w:lineRule="auto" w:before="23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TEMPORARY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RELATION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SITUATIONS</w:t>
      </w:r>
    </w:p>
    <w:p>
      <w:pPr>
        <w:autoSpaceDN w:val="0"/>
        <w:autoSpaceDE w:val="0"/>
        <w:widowControl/>
        <w:spacing w:line="238" w:lineRule="auto" w:before="56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WHERE</w:t>
      </w:r>
      <w:r>
        <w:rPr>
          <w:rFonts w:ascii="Times" w:hAnsi="Times" w:eastAsia="Times"/>
          <w:b w:val="0"/>
          <w:i w:val="0"/>
          <w:color w:val="221F1F"/>
          <w:sz w:val="14"/>
        </w:rPr>
        <w:t>PERSONS</w:t>
      </w:r>
      <w:r>
        <w:rPr>
          <w:rFonts w:ascii="Times" w:hAnsi="Times" w:eastAsia="Times"/>
          <w:b w:val="0"/>
          <w:i w:val="0"/>
          <w:color w:val="221F1F"/>
          <w:sz w:val="14"/>
        </w:rPr>
        <w:t>WERE</w:t>
      </w:r>
      <w:r>
        <w:rPr>
          <w:rFonts w:ascii="Times" w:hAnsi="Times" w:eastAsia="Times"/>
          <w:b w:val="0"/>
          <w:i w:val="0"/>
          <w:color w:val="221F1F"/>
          <w:sz w:val="14"/>
        </w:rPr>
        <w:t>UNABLE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PERFORM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ACTIONS</w:t>
      </w:r>
    </w:p>
    <w:p>
      <w:pPr>
        <w:autoSpaceDN w:val="0"/>
        <w:autoSpaceDE w:val="0"/>
        <w:widowControl/>
        <w:spacing w:line="245" w:lineRule="auto" w:before="68" w:after="0"/>
        <w:ind w:left="17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LAW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BE</w:t>
      </w:r>
      <w:r>
        <w:rPr>
          <w:rFonts w:ascii="Times" w:hAnsi="Times" w:eastAsia="Times"/>
          <w:b w:val="0"/>
          <w:i w:val="0"/>
          <w:color w:val="221F1F"/>
          <w:sz w:val="14"/>
        </w:rPr>
        <w:t>PERFORMED</w:t>
      </w:r>
      <w:r>
        <w:rPr>
          <w:rFonts w:ascii="Times" w:hAnsi="Times" w:eastAsia="Times"/>
          <w:b w:val="0"/>
          <w:i w:val="0"/>
          <w:color w:val="221F1F"/>
          <w:sz w:val="14"/>
        </w:rPr>
        <w:t>WITHIN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PRESCRIBED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PERIODS</w:t>
      </w:r>
      <w:r>
        <w:rPr>
          <w:rFonts w:ascii="Times" w:hAnsi="Times" w:eastAsia="Times"/>
          <w:b w:val="0"/>
          <w:i w:val="0"/>
          <w:color w:val="221F1F"/>
          <w:sz w:val="14"/>
        </w:rPr>
        <w:t>DUE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COVID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 </w:t>
      </w:r>
      <w:r>
        <w:rPr>
          <w:rFonts w:ascii="Times" w:hAnsi="Times" w:eastAsia="Times"/>
          <w:b w:val="0"/>
          <w:i w:val="0"/>
          <w:color w:val="221F1F"/>
          <w:sz w:val="18"/>
        </w:rPr>
        <w:t>19</w:t>
      </w:r>
      <w:r>
        <w:rPr>
          <w:rFonts w:ascii="Times" w:hAnsi="Times" w:eastAsia="Times"/>
          <w:b w:val="0"/>
          <w:i w:val="0"/>
          <w:color w:val="221F1F"/>
          <w:sz w:val="14"/>
        </w:rPr>
        <w:t>CIRCUMSTANCES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ASSIGN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ALTERNATIVE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COURTS</w:t>
      </w:r>
      <w:r>
        <w:rPr>
          <w:rFonts w:ascii="Times" w:hAnsi="Times" w:eastAsia="Times"/>
          <w:b w:val="0"/>
          <w:i w:val="0"/>
          <w:color w:val="221F1F"/>
          <w:sz w:val="14"/>
        </w:rPr>
        <w:t>WHERE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COURT</w:t>
      </w:r>
      <w:r>
        <w:rPr>
          <w:rFonts w:ascii="Times" w:hAnsi="Times" w:eastAsia="Times"/>
          <w:b w:val="0"/>
          <w:i w:val="0"/>
          <w:color w:val="221F1F"/>
          <w:sz w:val="14"/>
        </w:rPr>
        <w:t>CANNOT</w:t>
      </w:r>
      <w:r>
        <w:rPr>
          <w:rFonts w:ascii="Times" w:hAnsi="Times" w:eastAsia="Times"/>
          <w:b w:val="0"/>
          <w:i w:val="0"/>
          <w:color w:val="221F1F"/>
          <w:sz w:val="14"/>
        </w:rPr>
        <w:t>FUNCTION</w:t>
      </w:r>
      <w:r>
        <w:rPr>
          <w:rFonts w:ascii="Times" w:hAnsi="Times" w:eastAsia="Times"/>
          <w:b w:val="0"/>
          <w:i w:val="0"/>
          <w:color w:val="221F1F"/>
          <w:sz w:val="14"/>
        </w:rPr>
        <w:t>DUE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COVID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19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CIRCUMSTANCES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CONDUCT</w:t>
      </w:r>
      <w:r>
        <w:rPr>
          <w:rFonts w:ascii="Times" w:hAnsi="Times" w:eastAsia="Times"/>
          <w:b w:val="0"/>
          <w:i w:val="0"/>
          <w:color w:val="221F1F"/>
          <w:sz w:val="14"/>
        </w:rPr>
        <w:t>COURT</w:t>
      </w:r>
      <w:r>
        <w:rPr>
          <w:rFonts w:ascii="Times" w:hAnsi="Times" w:eastAsia="Times"/>
          <w:b w:val="0"/>
          <w:i w:val="0"/>
          <w:color w:val="221F1F"/>
          <w:sz w:val="14"/>
        </w:rPr>
        <w:t>PROCEEDINGS</w:t>
      </w:r>
      <w:r>
        <w:rPr>
          <w:rFonts w:ascii="Times" w:hAnsi="Times" w:eastAsia="Times"/>
          <w:b w:val="0"/>
          <w:i w:val="0"/>
          <w:color w:val="221F1F"/>
          <w:sz w:val="14"/>
        </w:rPr>
        <w:t>USING</w:t>
      </w:r>
      <w:r>
        <w:rPr>
          <w:rFonts w:ascii="Times" w:hAnsi="Times" w:eastAsia="Times"/>
          <w:b w:val="0"/>
          <w:i w:val="0"/>
          <w:color w:val="221F1F"/>
          <w:sz w:val="14"/>
        </w:rPr>
        <w:t>REMOTE</w:t>
      </w:r>
    </w:p>
    <w:p>
      <w:pPr>
        <w:autoSpaceDN w:val="0"/>
        <w:autoSpaceDE w:val="0"/>
        <w:widowControl/>
        <w:spacing w:line="245" w:lineRule="auto" w:before="56" w:after="0"/>
        <w:ind w:left="17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COMMUNICATION</w:t>
      </w:r>
      <w:r>
        <w:rPr>
          <w:rFonts w:ascii="Times" w:hAnsi="Times" w:eastAsia="Times"/>
          <w:b w:val="0"/>
          <w:i w:val="0"/>
          <w:color w:val="221F1F"/>
          <w:sz w:val="14"/>
        </w:rPr>
        <w:t>TECHNOLOGY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FACILITATE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CONTROL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CORONAVIRUS</w:t>
      </w:r>
      <w:r>
        <w:rPr>
          <w:rFonts w:ascii="Times" w:hAnsi="Times" w:eastAsia="Times"/>
          <w:b w:val="0"/>
          <w:i w:val="0"/>
          <w:color w:val="221F1F"/>
          <w:sz w:val="14"/>
        </w:rPr>
        <w:t>DISEASE</w:t>
      </w:r>
      <w:r>
        <w:rPr>
          <w:rFonts w:ascii="Times" w:hAnsi="Times" w:eastAsia="Times"/>
          <w:b w:val="0"/>
          <w:i w:val="0"/>
          <w:color w:val="221F1F"/>
          <w:sz w:val="18"/>
        </w:rPr>
        <w:t>2019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" w:hAnsi="Times" w:eastAsia="Times"/>
          <w:b w:val="0"/>
          <w:i w:val="0"/>
          <w:color w:val="221F1F"/>
          <w:sz w:val="14"/>
        </w:rPr>
        <w:t>COVID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 </w:t>
      </w:r>
      <w:r>
        <w:rPr>
          <w:rFonts w:ascii="Times" w:hAnsi="Times" w:eastAsia="Times"/>
          <w:b w:val="0"/>
          <w:i w:val="0"/>
          <w:color w:val="221F1F"/>
          <w:sz w:val="18"/>
        </w:rPr>
        <w:t>19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MATTERS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5" w:lineRule="auto" w:before="230" w:after="168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7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may be cited as the Coronavirus Disease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2019 (COVID -19) (Temporary Provisions) Act, No. 17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2021. The provisions of this Act shall be in operation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of two years commencing 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March 1, 2020.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Short title,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duration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extension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45" w:lineRule="auto" w:before="13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may, at any time within one month prior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expiration of the period of operation of this Act,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extend for a further period </w:t>
      </w:r>
      <w:r>
        <w:rPr>
          <w:rFonts w:ascii="Times" w:hAnsi="Times" w:eastAsia="Times"/>
          <w:b w:val="0"/>
          <w:i w:val="0"/>
          <w:color w:val="221F1F"/>
          <w:sz w:val="20"/>
        </w:rPr>
        <w:t>the operation of the Act:</w:t>
      </w:r>
    </w:p>
    <w:p>
      <w:pPr>
        <w:autoSpaceDN w:val="0"/>
        <w:autoSpaceDE w:val="0"/>
        <w:widowControl/>
        <w:spacing w:line="245" w:lineRule="auto" w:before="230" w:after="0"/>
        <w:ind w:left="1456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aggregate period of any extension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 exceed two years from the date of such</w:t>
      </w:r>
      <w:r>
        <w:rPr>
          <w:rFonts w:ascii="Times" w:hAnsi="Times" w:eastAsia="Times"/>
          <w:b w:val="0"/>
          <w:i w:val="0"/>
          <w:color w:val="221F1F"/>
          <w:sz w:val="20"/>
        </w:rPr>
        <w:t>extension.</w:t>
      </w:r>
    </w:p>
    <w:p>
      <w:pPr>
        <w:autoSpaceDN w:val="0"/>
        <w:autoSpaceDE w:val="0"/>
        <w:widowControl/>
        <w:spacing w:line="235" w:lineRule="auto" w:before="230" w:after="0"/>
        <w:ind w:left="0" w:right="52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30" w:after="170"/>
        <w:ind w:left="15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ELIEF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NABILITY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OMPLY</w:t>
      </w:r>
      <w:r>
        <w:rPr>
          <w:rFonts w:ascii="Times" w:hAnsi="Times" w:eastAsia="Times"/>
          <w:b w:val="0"/>
          <w:i w:val="0"/>
          <w:color w:val="221F1F"/>
          <w:sz w:val="14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RESCRIBED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IME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ERIODS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83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any court, tribunal or any other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by or under any law is satisfied that,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 prevented from-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Relief in respect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inability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comply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prescribed 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periods</w:t>
            </w:r>
          </w:p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instituting or filing any action, application, appeal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legal proceeding, as the case may be,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period prescribed by law for such purpose;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90" w:val="left"/>
          <w:tab w:pos="3542" w:val="left"/>
        </w:tabs>
        <w:autoSpaceDE w:val="0"/>
        <w:widowControl/>
        <w:spacing w:line="245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 Act, No. 17 of  2021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8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any act which is required by law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done or performed within a prescribed time period,</w:t>
      </w:r>
    </w:p>
    <w:p>
      <w:pPr>
        <w:autoSpaceDN w:val="0"/>
        <w:autoSpaceDE w:val="0"/>
        <w:widowControl/>
        <w:spacing w:line="259" w:lineRule="auto" w:before="27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due to any COVID - 19 circumstance, it shall be competent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such court, tribunal or any other authority established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under any law to allow, admit or entertain an action,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application, appeal, other proceeding or act,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notwithstanding the lapse of the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prescribed by law for such purpose and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section 9, the period within which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subject to such COVID - 19 circumstance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excluded in calculating the said prescribed time period.</w:t>
      </w:r>
    </w:p>
    <w:p>
      <w:pPr>
        <w:autoSpaceDN w:val="0"/>
        <w:tabs>
          <w:tab w:pos="3024" w:val="left"/>
        </w:tabs>
        <w:autoSpaceDE w:val="0"/>
        <w:widowControl/>
        <w:spacing w:line="250" w:lineRule="auto" w:before="27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relief granted under subsection (1) shall not apply </w:t>
      </w:r>
      <w:r>
        <w:rPr>
          <w:rFonts w:ascii="Times" w:hAnsi="Times" w:eastAsia="Times"/>
          <w:b w:val="0"/>
          <w:i w:val="0"/>
          <w:color w:val="221F1F"/>
          <w:sz w:val="20"/>
        </w:rPr>
        <w:t>in relation to any application or appeal-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78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which the following rules apply-</w:t>
      </w:r>
    </w:p>
    <w:p>
      <w:pPr>
        <w:autoSpaceDN w:val="0"/>
        <w:autoSpaceDE w:val="0"/>
        <w:widowControl/>
        <w:spacing w:line="254" w:lineRule="auto" w:before="278" w:after="0"/>
        <w:ind w:left="3822" w:right="1436" w:hanging="3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Supreme Court (Temporary Provisions)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2020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Extraordinary No. 2174/4 of May 6, 2020;</w:t>
      </w:r>
    </w:p>
    <w:p>
      <w:pPr>
        <w:autoSpaceDN w:val="0"/>
        <w:autoSpaceDE w:val="0"/>
        <w:widowControl/>
        <w:spacing w:line="254" w:lineRule="auto" w:before="278" w:after="0"/>
        <w:ind w:left="3822" w:right="1436" w:hanging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Supreme Court (Temporary Provisions)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2021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Extraordinary No. 2211/56 of January 21, 2021;</w:t>
      </w:r>
    </w:p>
    <w:p>
      <w:pPr>
        <w:autoSpaceDN w:val="0"/>
        <w:autoSpaceDE w:val="0"/>
        <w:widowControl/>
        <w:spacing w:line="257" w:lineRule="auto" w:before="278" w:after="0"/>
        <w:ind w:left="3822" w:right="1436" w:hanging="4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Court of Appeal (Procedure for Appeals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High Courts established by Article 154P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Constitution) (Temporary Provisions)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2020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Extraordinary No. 2175/2 of May 12, 2020; or</w:t>
      </w:r>
    </w:p>
    <w:p>
      <w:pPr>
        <w:autoSpaceDN w:val="0"/>
        <w:autoSpaceDE w:val="0"/>
        <w:widowControl/>
        <w:spacing w:line="257" w:lineRule="auto" w:before="278" w:after="0"/>
        <w:ind w:left="3822" w:right="1436" w:hanging="42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the Court of Appeal (Procedure for Appeals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High Courts established by Article 154P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Constitution) (Temporary Provisions)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2021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Extraordinary</w:t>
      </w:r>
      <w:r>
        <w:rPr>
          <w:rFonts w:ascii="Times" w:hAnsi="Times" w:eastAsia="Times"/>
          <w:b w:val="0"/>
          <w:i w:val="0"/>
          <w:color w:val="221F1F"/>
          <w:sz w:val="20"/>
        </w:rPr>
        <w:t>No. 2211/56 of January 21, 2021;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Coronavirus Disease 2019 (COVID - 19)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  <w:tr>
        <w:trPr>
          <w:trHeight w:hRule="exact" w:val="18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(Temporary Provisions) Act, No. 17 of  2021</w:t>
            </w:r>
          </w:p>
          <w:p>
            <w:pPr>
              <w:autoSpaceDN w:val="0"/>
              <w:autoSpaceDE w:val="0"/>
              <w:widowControl/>
              <w:spacing w:line="245" w:lineRule="auto" w:before="272" w:after="0"/>
              <w:ind w:left="15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which any Supreme Court Rule or Court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Appeal Rule as may be made under Article 136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Constitution within the period of operation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Act, granting any exclusion of time period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relief in respect of any COVID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- 19 circumstance,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apply.</w:t>
            </w:r>
          </w:p>
        </w:tc>
      </w:tr>
    </w:tbl>
    <w:p>
      <w:pPr>
        <w:autoSpaceDN w:val="0"/>
        <w:autoSpaceDE w:val="0"/>
        <w:widowControl/>
        <w:spacing w:line="238" w:lineRule="auto" w:before="154" w:after="0"/>
        <w:ind w:left="0" w:right="48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12" w:after="152"/>
        <w:ind w:left="0" w:right="38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ESIGNATION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TLERNATIVE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sections 46 and 47 of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Designation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alternative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courts in place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courts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affected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COVID - 19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circumstances</w:t>
            </w:r>
          </w:p>
        </w:tc>
      </w:tr>
      <w:tr>
        <w:trPr>
          <w:trHeight w:hRule="exact" w:val="227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36" w:right="102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Judicature Act, No. 2 of 1978,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ordinary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functioning of any court of first instance is disrupted due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COVID - 19 circumstance, the Judicial Service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may designate the nearest court of concurrent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jurisdiction as the alternative court in place of such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period during which such COVID - 19 circumstance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exists. Any action, prosecution, proceeding or matter filed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or considered by such court of first instance or any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action, prosecution, proceeding or matter filed,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considered or heard by the court so designated: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2" w:after="152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no transfer of an action, prosecution,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 or matter referred to in this subsection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made where-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166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6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such court of first instance has reserved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action, prosecution, proceeding or matter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judgment, order or other pronouncement; or</w:t>
            </w:r>
          </w:p>
          <w:p>
            <w:pPr>
              <w:autoSpaceDN w:val="0"/>
              <w:autoSpaceDE w:val="0"/>
              <w:widowControl/>
              <w:spacing w:line="245" w:lineRule="auto" w:before="214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hearings in such action, prosecution, proceeding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matter have been concluded before such court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 instance.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action, prosecution, proceeding or matter filed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considered by an alternative court referred to in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may, by the presiding Judge of the alternative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subsequently be transferred to the court of first instance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previously exercised jurisdiction in relation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upon the resumption of ordinary functions of such </w:t>
      </w:r>
      <w:r>
        <w:rPr>
          <w:rFonts w:ascii="Times" w:hAnsi="Times" w:eastAsia="Times"/>
          <w:b w:val="0"/>
          <w:i w:val="0"/>
          <w:color w:val="221F1F"/>
          <w:sz w:val="20"/>
        </w:rPr>
        <w:t>original court: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90" w:val="left"/>
          <w:tab w:pos="3542" w:val="left"/>
        </w:tabs>
        <w:autoSpaceDE w:val="0"/>
        <w:widowControl/>
        <w:spacing w:line="245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 Act, No. 17 of  2021</w:t>
      </w:r>
    </w:p>
    <w:p>
      <w:pPr>
        <w:autoSpaceDN w:val="0"/>
        <w:autoSpaceDE w:val="0"/>
        <w:widowControl/>
        <w:spacing w:line="254" w:lineRule="auto" w:before="26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no transfer of an action, prosecution,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 or matter referred to in this subsection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made where-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alternative court has reserved such action,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prosecution, proceeding or matter for judgment,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 or other pronouncement; or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8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hearings in such action, prosecution, proceeding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matter have been concluded before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alternative court.</w:t>
      </w:r>
    </w:p>
    <w:p>
      <w:pPr>
        <w:autoSpaceDN w:val="0"/>
        <w:autoSpaceDE w:val="0"/>
        <w:widowControl/>
        <w:spacing w:line="238" w:lineRule="auto" w:before="280" w:after="0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50" w:lineRule="auto" w:before="280" w:after="222"/>
        <w:ind w:left="273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ONDUCTING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ROCEEDINGS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>SING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EMOTE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OMMUNICATION </w:t>
      </w: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Conducting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using remote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contained in any other</w:t>
            </w:r>
          </w:p>
        </w:tc>
      </w:tr>
      <w:tr>
        <w:trPr>
          <w:trHeight w:hRule="exact" w:val="536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2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where, in any action, application, appeal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 before a court of first instance, –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communication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is unable to appear in court; or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proceedings of the court cannot be conducted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0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the ordinary procedure,</w:t>
      </w:r>
    </w:p>
    <w:p>
      <w:pPr>
        <w:autoSpaceDN w:val="0"/>
        <w:autoSpaceDE w:val="0"/>
        <w:widowControl/>
        <w:spacing w:line="259" w:lineRule="auto" w:before="28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due to any COVID - 19 circumstance, such action,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application, appeal or proceeding before such court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by means of a live video or live television link </w:t>
      </w:r>
      <w:r>
        <w:rPr>
          <w:rFonts w:ascii="Times" w:hAnsi="Times" w:eastAsia="Times"/>
          <w:b w:val="0"/>
          <w:i w:val="0"/>
          <w:color w:val="221F1F"/>
          <w:sz w:val="20"/>
        </w:rPr>
        <w:t>created using a remote communication technology.</w:t>
      </w:r>
    </w:p>
    <w:p>
      <w:pPr>
        <w:autoSpaceDN w:val="0"/>
        <w:autoSpaceDE w:val="0"/>
        <w:widowControl/>
        <w:spacing w:line="238" w:lineRule="auto" w:before="278" w:after="0"/>
        <w:ind w:left="0" w:right="41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provisions of–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Supreme Court (Electronic Filing and Urgent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Digital Virtual Hearings) (Special Provisions) Rules,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2021  published  in  the 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Extraordinary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2212/54 of January 29, 2021;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Coronavirus Disease 2019 (COVID - 19)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728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6" w:val="left"/>
              </w:tabs>
              <w:autoSpaceDE w:val="0"/>
              <w:widowControl/>
              <w:spacing w:line="374" w:lineRule="auto" w:before="0" w:after="0"/>
              <w:ind w:left="44" w:right="1296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(Temporary Provisions) Act, No. 17 of  2021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of Appeal (Electronic Filing and Urgent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1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Digital Virtual Hearings) (Special Provisions) Rules,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2021  published  in 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Extraordinary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No. 2216/8 of February 23, 2021; and</w:t>
      </w:r>
    </w:p>
    <w:p>
      <w:pPr>
        <w:autoSpaceDN w:val="0"/>
        <w:tabs>
          <w:tab w:pos="2156" w:val="left"/>
        </w:tabs>
        <w:autoSpaceDE w:val="0"/>
        <w:widowControl/>
        <w:spacing w:line="259" w:lineRule="auto" w:before="28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Supreme Court Rule or Court of  Appeal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 as may be made under Article 136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 within the period of operation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in relation to conducting of court proceedings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using remote communication technology,</w:t>
      </w:r>
    </w:p>
    <w:p>
      <w:pPr>
        <w:autoSpaceDN w:val="0"/>
        <w:autoSpaceDE w:val="0"/>
        <w:widowControl/>
        <w:spacing w:line="257" w:lineRule="auto" w:before="282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to the extent possible,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any action, application, appeal or proceeding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before any court of first instance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autoSpaceDE w:val="0"/>
        <w:widowControl/>
        <w:spacing w:line="238" w:lineRule="auto" w:before="282" w:after="0"/>
        <w:ind w:left="0" w:right="48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78" w:after="222"/>
        <w:ind w:left="0" w:right="48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period excluded as a relief under section 2 of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Limitations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relief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4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shall not exceed a period of twelve months: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1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 period exceeding twelve months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excluded as a relief where the court, tribunal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established by or under any law is satisfied that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just and equitable to do so and the period so excluded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 exceed a period of further six months:</w:t>
      </w:r>
    </w:p>
    <w:p>
      <w:pPr>
        <w:autoSpaceDN w:val="0"/>
        <w:tabs>
          <w:tab w:pos="1678" w:val="left"/>
        </w:tabs>
        <w:autoSpaceDE w:val="0"/>
        <w:widowControl/>
        <w:spacing w:line="250" w:lineRule="auto" w:before="282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that the period excluded as a relief shall </w:t>
      </w:r>
      <w:r>
        <w:rPr>
          <w:rFonts w:ascii="Times" w:hAnsi="Times" w:eastAsia="Times"/>
          <w:b w:val="0"/>
          <w:i w:val="0"/>
          <w:color w:val="221F1F"/>
          <w:sz w:val="20"/>
        </w:rPr>
        <w:t>not exceed eighteen months in the aggregate.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259" w:lineRule="auto" w:before="282" w:after="0"/>
        <w:ind w:left="143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burden of proof  that the inability to comply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Burden of proof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prescribed time periods for the purpose of section 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due to any COVID - 19 circumstance, shall be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party making the application for relief under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90" w:val="left"/>
          <w:tab w:pos="3542" w:val="left"/>
        </w:tabs>
        <w:autoSpaceDE w:val="0"/>
        <w:widowControl/>
        <w:spacing w:line="245" w:lineRule="auto" w:before="0" w:after="196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Coronavirus Disease 2019 (COVID - 19)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 Act, No. 17 of 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Guidelines, &amp;c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COVID -19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circumstance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considered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prima facie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evidence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guideline, direction, circular, notice or</w:t>
            </w:r>
          </w:p>
        </w:tc>
      </w:tr>
      <w:tr>
        <w:trPr>
          <w:trHeight w:hRule="exact" w:val="13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8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decision whether in the printed or electronic form, made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Government in relation to any COVID - 19 circumstance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admissible as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evidence in any action,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application, appeal or other legal proceeding instituted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this Act, without further proof.</w:t>
            </w:r>
          </w:p>
        </w:tc>
      </w:tr>
    </w:tbl>
    <w:p>
      <w:pPr>
        <w:autoSpaceDN w:val="0"/>
        <w:autoSpaceDE w:val="0"/>
        <w:widowControl/>
        <w:spacing w:line="252" w:lineRule="auto" w:before="20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party to such action, application, appeal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legal proceeding disputes the admissibility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guideline, direction, circular, notice or decision as evidence,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burden of proof shall be on the party who disputes such </w:t>
      </w:r>
      <w:r>
        <w:rPr>
          <w:rFonts w:ascii="Times" w:hAnsi="Times" w:eastAsia="Times"/>
          <w:b w:val="0"/>
          <w:i w:val="0"/>
          <w:color w:val="221F1F"/>
          <w:sz w:val="20"/>
        </w:rPr>
        <w:t>admissibility.</w:t>
      </w:r>
    </w:p>
    <w:p>
      <w:pPr>
        <w:autoSpaceDN w:val="0"/>
        <w:autoSpaceDE w:val="0"/>
        <w:widowControl/>
        <w:spacing w:line="252" w:lineRule="auto" w:before="264" w:after="18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 of this section, “Government” means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proper authority as defined in any regulation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Quarantine and Prevention of Diseases Ordinance </w:t>
      </w:r>
      <w:r>
        <w:rPr>
          <w:rFonts w:ascii="Times" w:hAnsi="Times" w:eastAsia="Times"/>
          <w:b w:val="0"/>
          <w:i w:val="0"/>
          <w:color w:val="221F1F"/>
          <w:sz w:val="20"/>
        </w:rPr>
        <w:t>(Chapter 222) in relation to COVID-19.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 requires –</w:t>
            </w:r>
          </w:p>
        </w:tc>
      </w:tr>
    </w:tbl>
    <w:p>
      <w:pPr>
        <w:autoSpaceDN w:val="0"/>
        <w:autoSpaceDE w:val="0"/>
        <w:widowControl/>
        <w:spacing w:line="254" w:lineRule="auto" w:before="206" w:after="0"/>
        <w:ind w:left="4324" w:right="1436" w:hanging="9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“COVID - 19” means the Coronavirus Disease 2019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(COVID - 19) declared as a quarantinable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disease by Notification published in the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Extraordinary No. 2167/18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March 20, 2020 under the Quarantine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Prevention of Diseases Ordinance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222);</w:t>
      </w:r>
    </w:p>
    <w:p>
      <w:pPr>
        <w:autoSpaceDN w:val="0"/>
        <w:autoSpaceDE w:val="0"/>
        <w:widowControl/>
        <w:spacing w:line="235" w:lineRule="auto" w:before="266" w:after="0"/>
        <w:ind w:left="0" w:right="2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“COVID - 19 circumstance” includes-</w:t>
      </w:r>
    </w:p>
    <w:p>
      <w:pPr>
        <w:autoSpaceDN w:val="0"/>
        <w:tabs>
          <w:tab w:pos="4222" w:val="left"/>
        </w:tabs>
        <w:autoSpaceDE w:val="0"/>
        <w:widowControl/>
        <w:spacing w:line="235" w:lineRule="auto" w:before="266" w:after="0"/>
        <w:ind w:left="38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COVID - 19; or</w:t>
      </w:r>
    </w:p>
    <w:p>
      <w:pPr>
        <w:autoSpaceDN w:val="0"/>
        <w:tabs>
          <w:tab w:pos="4222" w:val="left"/>
        </w:tabs>
        <w:autoSpaceDE w:val="0"/>
        <w:widowControl/>
        <w:spacing w:line="250" w:lineRule="auto" w:before="266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circumstance arising out of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consequential to the circumstances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); and</w:t>
      </w:r>
    </w:p>
    <w:p>
      <w:pPr>
        <w:autoSpaceDN w:val="0"/>
        <w:autoSpaceDE w:val="0"/>
        <w:widowControl/>
        <w:spacing w:line="247" w:lineRule="auto" w:before="266" w:after="0"/>
        <w:ind w:left="4264" w:right="1296" w:hanging="82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assigned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Article 44 or 45 of the 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Coronavirus Disease 2019 (COVID - 19)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34" w:after="0"/>
              <w:ind w:left="11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  <w:tr>
        <w:trPr>
          <w:trHeight w:hRule="exact" w:val="104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344" w:val="left"/>
              </w:tabs>
              <w:autoSpaceDE w:val="0"/>
              <w:widowControl/>
              <w:spacing w:line="334" w:lineRule="auto" w:before="0" w:after="0"/>
              <w:ind w:left="736" w:right="0" w:firstLine="0"/>
              <w:jc w:val="left"/>
            </w:pPr>
            <w:r>
              <w:tab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(Temporary Provisions) Act, No. 17 of  2021 </w:t>
            </w:r>
            <w:r>
              <w:br/>
            </w: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16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35" w:lineRule="auto" w:before="264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Coronavirus Disease 2019 (COVID - 19)</w:t>
      </w:r>
    </w:p>
    <w:p>
      <w:pPr>
        <w:autoSpaceDN w:val="0"/>
        <w:autoSpaceDE w:val="0"/>
        <w:widowControl/>
        <w:spacing w:line="235" w:lineRule="auto" w:before="14" w:after="0"/>
        <w:ind w:left="0" w:right="204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(Temporary Provisions) Act, No. 17 of  2021</w:t>
      </w:r>
    </w:p>
    <w:p>
      <w:pPr>
        <w:autoSpaceDN w:val="0"/>
        <w:autoSpaceDE w:val="0"/>
        <w:widowControl/>
        <w:spacing w:line="238" w:lineRule="auto" w:before="92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8" w:lineRule="auto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