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CONSUMER   AFFAIRS   AUTHORITY (AMENDMENT)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20  OF  2021</w:t>
      </w:r>
    </w:p>
    <w:p>
      <w:pPr>
        <w:autoSpaceDN w:val="0"/>
        <w:autoSpaceDE w:val="0"/>
        <w:widowControl/>
        <w:spacing w:line="235" w:lineRule="auto" w:before="926" w:after="0"/>
        <w:ind w:left="0" w:right="27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22nd of  September, 2021]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24, 2021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9.00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10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Consumer Affairs Authority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20 of 2021</w:t>
      </w:r>
    </w:p>
    <w:p>
      <w:pPr>
        <w:autoSpaceDN w:val="0"/>
        <w:autoSpaceDE w:val="0"/>
        <w:widowControl/>
        <w:spacing w:line="238" w:lineRule="auto" w:before="238" w:after="0"/>
        <w:ind w:left="22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22nd of September, 2021]</w:t>
      </w:r>
    </w:p>
    <w:p>
      <w:pPr>
        <w:autoSpaceDN w:val="0"/>
        <w:autoSpaceDE w:val="0"/>
        <w:widowControl/>
        <w:spacing w:line="274" w:lineRule="exact" w:before="252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</w:t>
      </w:r>
      <w:r>
        <w:rPr>
          <w:rFonts w:ascii="Arial" w:hAnsi="Arial" w:eastAsia="Arial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0"/>
        </w:rPr>
        <w:t>O. 46/2021</w:t>
      </w:r>
    </w:p>
    <w:p>
      <w:pPr>
        <w:autoSpaceDN w:val="0"/>
        <w:autoSpaceDE w:val="0"/>
        <w:widowControl/>
        <w:spacing w:line="252" w:lineRule="auto" w:before="268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ONSUMER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FFAIRS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</w:t>
      </w:r>
    </w:p>
    <w:p>
      <w:pPr>
        <w:autoSpaceDN w:val="0"/>
        <w:autoSpaceDE w:val="0"/>
        <w:widowControl/>
        <w:spacing w:line="252" w:lineRule="auto" w:before="284" w:after="248"/>
        <w:ind w:left="142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Consumer Affairs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48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(Amendment) Act, No. 20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60 of the Consumer Affairs Authority Act,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60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9 of 2003</w:t>
            </w:r>
          </w:p>
        </w:tc>
      </w:tr>
      <w:tr>
        <w:trPr>
          <w:trHeight w:hRule="exact" w:val="566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7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9 of 2003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as follows 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68" w:val="left"/>
        </w:tabs>
        <w:autoSpaceDE w:val="0"/>
        <w:widowControl/>
        <w:spacing w:line="252" w:lineRule="auto" w:before="248" w:after="0"/>
        <w:ind w:left="16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by the insertion immediately after subsection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the following: -</w:t>
      </w:r>
    </w:p>
    <w:p>
      <w:pPr>
        <w:autoSpaceDN w:val="0"/>
        <w:autoSpaceDE w:val="0"/>
        <w:widowControl/>
        <w:spacing w:line="262" w:lineRule="auto" w:before="308" w:after="0"/>
        <w:ind w:left="2208" w:right="27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“(4A) Any person who fails or refuses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an order made under subsection (5)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20 or acts in contravention of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trial before a Magistrate, be liable to -</w:t>
      </w:r>
    </w:p>
    <w:p>
      <w:pPr>
        <w:autoSpaceDN w:val="0"/>
        <w:autoSpaceDE w:val="0"/>
        <w:widowControl/>
        <w:spacing w:line="264" w:lineRule="auto" w:before="308" w:after="0"/>
        <w:ind w:left="2546" w:right="2794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 where such person is not a body corporate,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fine not less than rupees one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and not exceeding rupees five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or to an imprisonment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description for a term not exceeding six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or to both such fine and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first offence, and to a fine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rupees two hundred thousand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rupees one million or to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imprisonment of either description for a term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488" w:val="left"/>
          <w:tab w:pos="4388" w:val="left"/>
        </w:tabs>
        <w:autoSpaceDE w:val="0"/>
        <w:widowControl/>
        <w:spacing w:line="236" w:lineRule="exact" w:before="30" w:after="0"/>
        <w:ind w:left="280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Consumer Affairs Authority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20 of 2021</w:t>
      </w:r>
    </w:p>
    <w:p>
      <w:pPr>
        <w:autoSpaceDN w:val="0"/>
        <w:autoSpaceDE w:val="0"/>
        <w:widowControl/>
        <w:spacing w:line="250" w:lineRule="auto" w:before="230" w:after="0"/>
        <w:ind w:left="389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imprisonment in the case of a subsequent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offence; or</w:t>
      </w:r>
    </w:p>
    <w:p>
      <w:pPr>
        <w:autoSpaceDN w:val="0"/>
        <w:autoSpaceDE w:val="0"/>
        <w:widowControl/>
        <w:spacing w:line="250" w:lineRule="auto" w:before="296" w:after="0"/>
        <w:ind w:left="3974" w:right="143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where such person is a body corporate,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rupees five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and not exceeding rupees five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in the case of a first offence and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rupees one million and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rupees ten million in the case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subsequent offence.”; and</w:t>
      </w:r>
    </w:p>
    <w:p>
      <w:pPr>
        <w:autoSpaceDN w:val="0"/>
        <w:tabs>
          <w:tab w:pos="3494" w:val="left"/>
        </w:tabs>
        <w:autoSpaceDE w:val="0"/>
        <w:widowControl/>
        <w:spacing w:line="247" w:lineRule="auto" w:before="294" w:after="232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“provisions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(1), (2), (3) and (4) of this section”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“provisions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subsections (1), (2), (3), (4) or (4A) of this section”.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not to apply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committed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to, coming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  <w:p>
            <w:pPr>
              <w:autoSpaceDN w:val="0"/>
              <w:autoSpaceDE w:val="0"/>
              <w:widowControl/>
              <w:spacing w:line="245" w:lineRule="auto" w:before="43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event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doubt, it is hereby declared</w:t>
            </w:r>
          </w:p>
        </w:tc>
      </w:tr>
      <w:tr>
        <w:trPr>
          <w:trHeight w:hRule="exact" w:val="1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13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the provisions of section 2 of this Act shall not apply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any offence committed under subsection (4A)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60 of the principal enactment, where such offence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was committed prior to the coming into operation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3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10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Consumer Affairs Authority (Amendment)</w:t>
            </w:r>
          </w:p>
        </w:tc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20 of 2021</w:t>
      </w:r>
    </w:p>
    <w:p>
      <w:pPr>
        <w:autoSpaceDN w:val="0"/>
        <w:autoSpaceDE w:val="0"/>
        <w:widowControl/>
        <w:spacing w:line="245" w:lineRule="auto" w:before="918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