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5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422" w:after="0"/>
        <w:ind w:left="1584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2"/>
        </w:rPr>
        <w:t xml:space="preserve">PARLIAMENT OF THE DEMOCRATIC </w:t>
      </w:r>
      <w:r>
        <w:rPr>
          <w:rFonts w:ascii="Times" w:hAnsi="Times" w:eastAsia="Times"/>
          <w:b/>
          <w:i w:val="0"/>
          <w:color w:val="221F1F"/>
          <w:sz w:val="32"/>
        </w:rPr>
        <w:t xml:space="preserve">SOCIALIST REPUBLIC OF </w:t>
      </w:r>
      <w:r>
        <w:br/>
      </w:r>
      <w:r>
        <w:rPr>
          <w:rFonts w:ascii="Times" w:hAnsi="Times" w:eastAsia="Times"/>
          <w:b/>
          <w:i w:val="0"/>
          <w:color w:val="221F1F"/>
          <w:sz w:val="32"/>
        </w:rPr>
        <w:t>SRI LANKA</w:t>
      </w:r>
    </w:p>
    <w:p>
      <w:pPr>
        <w:autoSpaceDN w:val="0"/>
        <w:autoSpaceDE w:val="0"/>
        <w:widowControl/>
        <w:spacing w:line="252" w:lineRule="auto" w:before="740" w:after="0"/>
        <w:ind w:left="1584" w:right="1440" w:firstLine="0"/>
        <w:jc w:val="center"/>
      </w:pPr>
      <w:r>
        <w:rPr>
          <w:rFonts w:ascii="Times" w:hAnsi="Times" w:eastAsia="Times"/>
          <w:b/>
          <w:i w:val="0"/>
          <w:color w:val="221F1F"/>
          <w:sz w:val="24"/>
        </w:rPr>
        <w:t xml:space="preserve">MAHAPOLA HIGHER EDUCATION SCHOLARSHIP </w:t>
      </w:r>
      <w:r>
        <w:rPr>
          <w:rFonts w:ascii="Times" w:hAnsi="Times" w:eastAsia="Times"/>
          <w:b/>
          <w:i w:val="0"/>
          <w:color w:val="221F1F"/>
          <w:sz w:val="24"/>
        </w:rPr>
        <w:t>TRUST FUND (AMENDMENT) ACT, No. 1 OF 2022</w:t>
      </w:r>
    </w:p>
    <w:p>
      <w:pPr>
        <w:autoSpaceDN w:val="0"/>
        <w:autoSpaceDE w:val="0"/>
        <w:widowControl/>
        <w:spacing w:line="238" w:lineRule="auto" w:before="906" w:after="0"/>
        <w:ind w:left="0" w:right="2902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[Certified on 14th of February, 2022]</w:t>
      </w:r>
    </w:p>
    <w:p>
      <w:pPr>
        <w:autoSpaceDN w:val="0"/>
        <w:autoSpaceDE w:val="0"/>
        <w:widowControl/>
        <w:spacing w:line="238" w:lineRule="auto" w:before="43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>Printed on the Order of Government</w:t>
      </w:r>
    </w:p>
    <w:p>
      <w:pPr>
        <w:autoSpaceDN w:val="0"/>
        <w:autoSpaceDE w:val="0"/>
        <w:widowControl/>
        <w:spacing w:line="245" w:lineRule="auto" w:before="692" w:after="0"/>
        <w:ind w:left="1728" w:right="158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Gazette of the Democratic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February 18, 2022</w:t>
      </w:r>
    </w:p>
    <w:p>
      <w:pPr>
        <w:autoSpaceDN w:val="0"/>
        <w:autoSpaceDE w:val="0"/>
        <w:widowControl/>
        <w:spacing w:line="245" w:lineRule="auto" w:before="490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02" w:val="left"/>
        </w:tabs>
        <w:autoSpaceDE w:val="0"/>
        <w:widowControl/>
        <w:spacing w:line="235" w:lineRule="auto" w:before="292" w:after="0"/>
        <w:ind w:left="1438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9.00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234" w:after="0"/>
        <w:ind w:left="143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Act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2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5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4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Mahapola Higher Education Scholarship Trust Fund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3894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(Amendment) Act, No. 1 of 2022</w:t>
      </w:r>
    </w:p>
    <w:p>
      <w:pPr>
        <w:autoSpaceDN w:val="0"/>
        <w:autoSpaceDE w:val="0"/>
        <w:widowControl/>
        <w:spacing w:line="235" w:lineRule="auto" w:before="256" w:after="0"/>
        <w:ind w:left="0" w:right="367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[Certified on 14th of February, 2022]</w:t>
      </w:r>
    </w:p>
    <w:p>
      <w:pPr>
        <w:autoSpaceDN w:val="0"/>
        <w:autoSpaceDE w:val="0"/>
        <w:widowControl/>
        <w:spacing w:line="235" w:lineRule="auto" w:before="242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L.D.—O. 5/2020</w:t>
      </w:r>
    </w:p>
    <w:p>
      <w:pPr>
        <w:autoSpaceDN w:val="0"/>
        <w:autoSpaceDE w:val="0"/>
        <w:widowControl/>
        <w:spacing w:line="245" w:lineRule="auto" w:before="230" w:after="0"/>
        <w:ind w:left="1440" w:right="273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221F1F"/>
          <w:sz w:val="14"/>
        </w:rPr>
        <w:t>AHAPOLA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H</w:t>
      </w:r>
      <w:r>
        <w:rPr>
          <w:rFonts w:ascii="Times" w:hAnsi="Times" w:eastAsia="Times"/>
          <w:b w:val="0"/>
          <w:i w:val="0"/>
          <w:color w:val="221F1F"/>
          <w:sz w:val="14"/>
        </w:rPr>
        <w:t>IGHER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221F1F"/>
          <w:sz w:val="14"/>
        </w:rPr>
        <w:t>DUCATION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CHOLARSHIP </w:t>
      </w:r>
      <w:r>
        <w:rPr>
          <w:rFonts w:ascii="Times" w:hAnsi="Times" w:eastAsia="Times"/>
          <w:b w:val="0"/>
          <w:i w:val="0"/>
          <w:color w:val="221F1F"/>
          <w:sz w:val="20"/>
        </w:rPr>
        <w:t>T</w:t>
      </w:r>
      <w:r>
        <w:rPr>
          <w:rFonts w:ascii="Times" w:hAnsi="Times" w:eastAsia="Times"/>
          <w:b w:val="0"/>
          <w:i w:val="0"/>
          <w:color w:val="221F1F"/>
          <w:sz w:val="14"/>
        </w:rPr>
        <w:t>RUST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221F1F"/>
          <w:sz w:val="14"/>
        </w:rPr>
        <w:t>UND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66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1981</w:t>
      </w:r>
    </w:p>
    <w:p>
      <w:pPr>
        <w:autoSpaceDN w:val="0"/>
        <w:autoSpaceDE w:val="0"/>
        <w:widowControl/>
        <w:spacing w:line="245" w:lineRule="auto" w:before="230" w:after="170"/>
        <w:ind w:left="145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Mahapola Higher Education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</w:tbl>
    <w:p>
      <w:pPr>
        <w:autoSpaceDN w:val="0"/>
        <w:autoSpaceDE w:val="0"/>
        <w:widowControl/>
        <w:spacing w:line="235" w:lineRule="auto" w:before="0" w:after="17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Scholarship Trust Fund (Amendment) Act, No. 1 of 2022.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long title of the Mahapola Higher Education</w:t>
            </w:r>
          </w:p>
        </w:tc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6" w:after="0"/>
              <w:ind w:left="11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long title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Act, No.66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1981</w:t>
            </w:r>
          </w:p>
        </w:tc>
      </w:tr>
      <w:tr>
        <w:trPr>
          <w:trHeight w:hRule="exact" w:val="688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736" w:right="10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Scholarship Trust Fund Act, No. 66 of 1981 (hereinafter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referred to as the “principal enactment”) is hereby amended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for the words “MAHAPOLA HIGHER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170"/>
        <w:ind w:left="1456" w:right="276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EDUCATION  SCHOLARSHIP  TRUST  FUND”, of the words,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“LALITH ATHULATHMUDALI MAHAPOLA HIGHER </w:t>
      </w:r>
      <w:r>
        <w:rPr>
          <w:rFonts w:ascii="Times" w:hAnsi="Times" w:eastAsia="Times"/>
          <w:b w:val="0"/>
          <w:i w:val="0"/>
          <w:color w:val="221F1F"/>
          <w:sz w:val="20"/>
        </w:rPr>
        <w:t>EDUCATION  SCHOLARSHIP  TRUST  FUND”.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9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In the principal enactment and in any other written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2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General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enactment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other written law</w:t>
            </w:r>
          </w:p>
        </w:tc>
      </w:tr>
      <w:tr>
        <w:trPr>
          <w:trHeight w:hRule="exact" w:val="922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62" w:val="left"/>
                <w:tab w:pos="1456" w:val="left"/>
              </w:tabs>
              <w:autoSpaceDE w:val="0"/>
              <w:widowControl/>
              <w:spacing w:line="317" w:lineRule="auto" w:before="10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law, there shall be substituted –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for the words “Mahapola Higher Education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Scholarship Trust Fund Act”, of the words, “Lalith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0" w:after="0"/>
        <w:ind w:left="217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Athulathmudali Mahapola Higher Education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Scholarship Trust Fund Act”; and</w:t>
      </w:r>
    </w:p>
    <w:p>
      <w:pPr>
        <w:autoSpaceDN w:val="0"/>
        <w:autoSpaceDE w:val="0"/>
        <w:widowControl/>
        <w:spacing w:line="245" w:lineRule="auto" w:before="230" w:after="0"/>
        <w:ind w:left="2176" w:right="2764" w:hanging="39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for the words “Mahapola Higher Education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Scholarship Trust Fund”, of the words, “Lalith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Athulathmudali Mahapola Higher Education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Scholarship Trust Fund”,</w:t>
      </w:r>
    </w:p>
    <w:p>
      <w:pPr>
        <w:autoSpaceDN w:val="0"/>
        <w:autoSpaceDE w:val="0"/>
        <w:widowControl/>
        <w:spacing w:line="245" w:lineRule="auto" w:before="230" w:after="0"/>
        <w:ind w:left="145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wherever such words appear in the principal enactment and </w:t>
      </w:r>
      <w:r>
        <w:rPr>
          <w:rFonts w:ascii="Times" w:hAnsi="Times" w:eastAsia="Times"/>
          <w:b w:val="0"/>
          <w:i w:val="0"/>
          <w:color w:val="221F1F"/>
          <w:sz w:val="20"/>
        </w:rPr>
        <w:t>other written law.</w:t>
      </w:r>
    </w:p>
    <w:p>
      <w:pPr>
        <w:autoSpaceDN w:val="0"/>
        <w:autoSpaceDE w:val="0"/>
        <w:widowControl/>
        <w:spacing w:line="245" w:lineRule="auto" w:before="230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Every reference to the “Mahapola Higher Education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Scholarship Trust Fund Act” and “Mahapola Higher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Education Scholarship Trust Fund” in any notice, </w:t>
      </w:r>
      <w:r>
        <w:rPr>
          <w:rFonts w:ascii="Times" w:hAnsi="Times" w:eastAsia="Times"/>
          <w:b w:val="0"/>
          <w:i w:val="0"/>
          <w:color w:val="221F1F"/>
          <w:sz w:val="20"/>
        </w:rPr>
        <w:t>notification, contract, communication, agreement, form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894" w:val="left"/>
        </w:tabs>
        <w:autoSpaceDE w:val="0"/>
        <w:widowControl/>
        <w:spacing w:line="245" w:lineRule="auto" w:before="0" w:after="0"/>
        <w:ind w:left="2782" w:right="158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    Mahapola Higher Education Scholarship Trust Fund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(Amendment) Act, No. 1 of 2022</w:t>
      </w:r>
    </w:p>
    <w:p>
      <w:pPr>
        <w:autoSpaceDN w:val="0"/>
        <w:autoSpaceDE w:val="0"/>
        <w:widowControl/>
        <w:spacing w:line="245" w:lineRule="auto" w:before="248" w:after="182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document shall be read and construed as a reference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“Lalith Athulathmudali Mahapola Higher Education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Scholarship Trust Fund Act” and “Lalith Athulathmudali </w:t>
      </w:r>
      <w:r>
        <w:rPr>
          <w:rFonts w:ascii="Times" w:hAnsi="Times" w:eastAsia="Times"/>
          <w:b w:val="0"/>
          <w:i w:val="0"/>
          <w:color w:val="221F1F"/>
          <w:sz w:val="20"/>
        </w:rPr>
        <w:t>Mahapola Higher Education Scholarship Trust Fund”.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6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3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17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2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3 of the principal enactment is hereby amended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follows:-</w:t>
            </w:r>
          </w:p>
        </w:tc>
      </w:tr>
      <w:tr>
        <w:trPr>
          <w:trHeight w:hRule="exact" w:val="358"/>
        </w:trPr>
        <w:tc>
          <w:tcPr>
            <w:tcW w:type="dxa" w:w="3007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0" w:right="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repeal of subsection (2) thereof and the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0" w:right="14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substitution therefor of the following subsection:-</w:t>
      </w:r>
    </w:p>
    <w:p>
      <w:pPr>
        <w:autoSpaceDN w:val="0"/>
        <w:autoSpaceDE w:val="0"/>
        <w:widowControl/>
        <w:spacing w:line="245" w:lineRule="auto" w:before="242" w:after="0"/>
        <w:ind w:left="3504" w:right="1436" w:firstLine="18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“(2) The Board of Trustees of the Fund (hereinafter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referred to as the “Board”) shall consist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following members:-</w:t>
      </w:r>
    </w:p>
    <w:p>
      <w:pPr>
        <w:autoSpaceDN w:val="0"/>
        <w:autoSpaceDE w:val="0"/>
        <w:widowControl/>
        <w:spacing w:line="235" w:lineRule="auto" w:before="242" w:after="0"/>
        <w:ind w:left="0" w:right="28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the founder or his nominee;</w:t>
      </w:r>
    </w:p>
    <w:p>
      <w:pPr>
        <w:autoSpaceDN w:val="0"/>
        <w:autoSpaceDE w:val="0"/>
        <w:widowControl/>
        <w:spacing w:line="245" w:lineRule="auto" w:before="242" w:after="0"/>
        <w:ind w:left="3982" w:right="1436" w:hanging="35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 retired Judge of the Supreme Court or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retired Auditor General appointed by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President for a period of three years who shall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be the Chairman of the Board;</w:t>
      </w:r>
    </w:p>
    <w:p>
      <w:pPr>
        <w:autoSpaceDN w:val="0"/>
        <w:tabs>
          <w:tab w:pos="3982" w:val="left"/>
        </w:tabs>
        <w:autoSpaceDE w:val="0"/>
        <w:widowControl/>
        <w:spacing w:line="245" w:lineRule="auto" w:before="240" w:after="0"/>
        <w:ind w:left="364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persons for the time being holding office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as–</w:t>
      </w:r>
    </w:p>
    <w:p>
      <w:pPr>
        <w:autoSpaceDN w:val="0"/>
        <w:autoSpaceDE w:val="0"/>
        <w:widowControl/>
        <w:spacing w:line="245" w:lineRule="auto" w:before="242" w:after="0"/>
        <w:ind w:left="4462" w:right="1436" w:hanging="30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the Secretary to the Ministry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Minister to whom the subject of Higher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Education is assigned;</w:t>
      </w:r>
    </w:p>
    <w:p>
      <w:pPr>
        <w:autoSpaceDN w:val="0"/>
        <w:autoSpaceDE w:val="0"/>
        <w:widowControl/>
        <w:spacing w:line="245" w:lineRule="auto" w:before="242" w:after="0"/>
        <w:ind w:left="4462" w:right="1436" w:hanging="36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the Secretary to the Ministry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Minister to whom the subject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Education is assigned;</w:t>
      </w:r>
    </w:p>
    <w:p>
      <w:pPr>
        <w:autoSpaceDN w:val="0"/>
        <w:autoSpaceDE w:val="0"/>
        <w:widowControl/>
        <w:spacing w:line="245" w:lineRule="auto" w:before="242" w:after="0"/>
        <w:ind w:left="4462" w:right="1436" w:hanging="42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the Secretary to the Ministry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Minister to whom the subject of Trade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is assigned; and</w:t>
      </w:r>
    </w:p>
    <w:p>
      <w:pPr>
        <w:autoSpaceDN w:val="0"/>
        <w:autoSpaceDE w:val="0"/>
        <w:widowControl/>
        <w:spacing w:line="245" w:lineRule="auto" w:before="242" w:after="0"/>
        <w:ind w:left="3964" w:right="1436" w:hanging="32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two persons appointed by the founder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(hereinafter referred to as the “appointed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members”) for a period of five years.”;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546" w:val="left"/>
          <w:tab w:pos="6158" w:val="left"/>
        </w:tabs>
        <w:autoSpaceDE w:val="0"/>
        <w:widowControl/>
        <w:spacing w:line="245" w:lineRule="auto" w:before="0" w:after="194"/>
        <w:ind w:left="1662" w:right="2736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Mahapola Higher Education Scholarship Trust Fund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(Amendment) Act, No. 1 of 2022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400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4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4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repeal of subsection (3) thereof.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564" w:after="0"/>
              <w:ind w:left="13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15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ecnactment</w:t>
            </w:r>
          </w:p>
          <w:p>
            <w:pPr>
              <w:autoSpaceDN w:val="0"/>
              <w:autoSpaceDE w:val="0"/>
              <w:widowControl/>
              <w:spacing w:line="247" w:lineRule="auto" w:before="438" w:after="0"/>
              <w:ind w:left="13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Insertion of new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15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360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16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4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15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40"/>
        </w:trPr>
        <w:tc>
          <w:tcPr>
            <w:tcW w:type="dxa" w:w="5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738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amended by the substitution for the words, “All officers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servants of the Fund” of the words, “All officers, servants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Trustees of the Fund”.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16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4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following new section is hereby inserted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600"/>
        </w:trPr>
        <w:tc>
          <w:tcPr>
            <w:tcW w:type="dxa" w:w="5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immediately after section 15 of the principal enactment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have effect as section 15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that enactment: 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80"/>
        </w:trPr>
        <w:tc>
          <w:tcPr>
            <w:tcW w:type="dxa" w:w="1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32" w:after="0"/>
              <w:ind w:left="7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“Provisions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Offences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Against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Public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 Act,</w:t>
            </w:r>
          </w:p>
        </w:tc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34" w:after="0"/>
              <w:ind w:left="78" w:right="1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All movable and immovable property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the Fund shall be deemed to be public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property within the meaning of, and for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purposes of, the Offences Against Public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06"/>
        </w:trPr>
        <w:tc>
          <w:tcPr>
            <w:tcW w:type="dxa" w:w="1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" w:after="0"/>
              <w:ind w:left="756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No. 12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1982 to</w:t>
            </w:r>
          </w:p>
        </w:tc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Property Act, No. 12 of 1982.”.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6" w:after="88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apply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9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avoidance of doubt, it is hereby declared that</w:t>
            </w:r>
          </w:p>
        </w:tc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8" w:after="0"/>
              <w:ind w:left="136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Avoidance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doubt</w:t>
            </w:r>
          </w:p>
        </w:tc>
      </w:tr>
      <w:tr>
        <w:trPr>
          <w:trHeight w:hRule="exact" w:val="252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“Lalith Athulathmudali Mahapola Higher Education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194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Scholarship Trust Fund”, shall, for all purposes be deemed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the successor to the “Mahapola Higher Education </w:t>
      </w:r>
      <w:r>
        <w:rPr>
          <w:rFonts w:ascii="Times" w:hAnsi="Times" w:eastAsia="Times"/>
          <w:b w:val="0"/>
          <w:i w:val="0"/>
          <w:color w:val="221F1F"/>
          <w:sz w:val="20"/>
        </w:rPr>
        <w:t>Scholarship Trust Fund”.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9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8.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 Sinhala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6" w:after="0"/>
              <w:ind w:left="13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prevail in case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</w:t>
            </w:r>
          </w:p>
        </w:tc>
      </w:tr>
      <w:tr>
        <w:trPr>
          <w:trHeight w:hRule="exact" w:val="362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32"/>
        <w:ind w:left="0" w:right="0"/>
      </w:pPr>
    </w:p>
    <w:p>
      <w:pPr>
        <w:autoSpaceDN w:val="0"/>
        <w:tabs>
          <w:tab w:pos="3894" w:val="left"/>
        </w:tabs>
        <w:autoSpaceDE w:val="0"/>
        <w:widowControl/>
        <w:spacing w:line="245" w:lineRule="auto" w:before="348" w:after="0"/>
        <w:ind w:left="2782" w:right="158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4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    Mahapola Higher Education Scholarship Trust Fund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(Amendment) Act, No. 1 of 2022</w:t>
      </w:r>
    </w:p>
    <w:p>
      <w:pPr>
        <w:autoSpaceDN w:val="0"/>
        <w:autoSpaceDE w:val="0"/>
        <w:widowControl/>
        <w:spacing w:line="245" w:lineRule="auto" w:before="8554" w:after="0"/>
        <w:ind w:left="1296" w:right="144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RAKASHANA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IYASA</w:t>
      </w:r>
      <w:r>
        <w:rPr>
          <w:rFonts w:ascii="Times" w:hAnsi="Times" w:eastAsia="Times"/>
          <w:b w:val="0"/>
          <w:i w:val="0"/>
          <w:color w:val="221F1F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OVERNMENT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RINTING</w:t>
      </w:r>
      <w:r>
        <w:rPr>
          <w:rFonts w:ascii="Times" w:hAnsi="Times" w:eastAsia="Times"/>
          <w:b w:val="0"/>
          <w:i w:val="0"/>
          <w:color w:val="221F1F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</w:t>
      </w:r>
      <w:r>
        <w:rPr>
          <w:rFonts w:ascii="Times" w:hAnsi="Times" w:eastAsia="Times"/>
          <w:b w:val="0"/>
          <w:i w:val="0"/>
          <w:color w:val="221F1F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</w:t>
      </w:r>
      <w:r>
        <w:rPr>
          <w:rFonts w:ascii="Times" w:hAnsi="Times" w:eastAsia="Times"/>
          <w:b w:val="0"/>
          <w:i w:val="0"/>
          <w:color w:val="221F1F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ANISTER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ILVA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AWATHA</w:t>
      </w:r>
      <w:r>
        <w:rPr>
          <w:rFonts w:ascii="Times" w:hAnsi="Times" w:eastAsia="Times"/>
          <w:b w:val="0"/>
          <w:i w:val="0"/>
          <w:color w:val="221F1F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OLOMBO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8.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