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54" w:lineRule="auto" w:before="664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PROVINCIAL COUNCILS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(TRANSFER OF STAMP DUTY) (AMENDMENT) </w:t>
      </w:r>
      <w:r>
        <w:rPr>
          <w:rFonts w:ascii="Times" w:hAnsi="Times" w:eastAsia="Times"/>
          <w:b/>
          <w:i w:val="0"/>
          <w:color w:val="221F1F"/>
          <w:sz w:val="24"/>
        </w:rPr>
        <w:t>ACT, No. 6 OF 2022</w:t>
      </w:r>
    </w:p>
    <w:p>
      <w:pPr>
        <w:autoSpaceDN w:val="0"/>
        <w:autoSpaceDE w:val="0"/>
        <w:widowControl/>
        <w:spacing w:line="238" w:lineRule="auto" w:before="680" w:after="0"/>
        <w:ind w:left="0" w:right="290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17th of February, 2022]</w:t>
      </w:r>
    </w:p>
    <w:p>
      <w:pPr>
        <w:autoSpaceDN w:val="0"/>
        <w:autoSpaceDE w:val="0"/>
        <w:widowControl/>
        <w:spacing w:line="238" w:lineRule="auto" w:before="4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February 18,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9.00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262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Provincial Councils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13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50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(Transfer of Stamp Duty) (Amendment) Act, No. 6 of 2022</w:t>
      </w:r>
    </w:p>
    <w:p>
      <w:pPr>
        <w:autoSpaceDN w:val="0"/>
        <w:autoSpaceDE w:val="0"/>
        <w:widowControl/>
        <w:spacing w:line="238" w:lineRule="auto" w:before="260" w:after="0"/>
        <w:ind w:left="0" w:right="3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February, 2022]</w:t>
      </w:r>
    </w:p>
    <w:p>
      <w:pPr>
        <w:autoSpaceDN w:val="0"/>
        <w:autoSpaceDE w:val="0"/>
        <w:widowControl/>
        <w:spacing w:line="238" w:lineRule="auto" w:before="26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D.— O. 33/2021</w:t>
      </w:r>
    </w:p>
    <w:p>
      <w:pPr>
        <w:autoSpaceDN w:val="0"/>
        <w:autoSpaceDE w:val="0"/>
        <w:widowControl/>
        <w:spacing w:line="245" w:lineRule="auto" w:before="244" w:after="0"/>
        <w:ind w:left="1872" w:right="331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OUNCILS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4"/>
        </w:rPr>
        <w:t>RANSFER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TAMP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UTY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2011</w:t>
      </w:r>
    </w:p>
    <w:p>
      <w:pPr>
        <w:autoSpaceDN w:val="0"/>
        <w:autoSpaceDE w:val="0"/>
        <w:widowControl/>
        <w:spacing w:line="245" w:lineRule="auto" w:before="244" w:after="148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Provincial Councils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6" w:after="148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(Transfer of Stamp Duty) (Amendment) Act, No. 6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1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0" w:firstLine="20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 of the Provincial Councils (Transfer of Stamp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Duty) Act, No. 13 of 2011 is hereby amended as follows:—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13 of 2011</w:t>
            </w:r>
          </w:p>
        </w:tc>
      </w:tr>
      <w:tr>
        <w:trPr>
          <w:trHeight w:hRule="exact" w:val="34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section 2 as subsection (1)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that section;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0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renumbered subsection (1) of that 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“revenue so collected.”,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words:—</w:t>
      </w:r>
    </w:p>
    <w:p>
      <w:pPr>
        <w:autoSpaceDN w:val="0"/>
        <w:autoSpaceDE w:val="0"/>
        <w:widowControl/>
        <w:spacing w:line="238" w:lineRule="auto" w:before="206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“revenue so collected:</w:t>
      </w:r>
    </w:p>
    <w:p>
      <w:pPr>
        <w:autoSpaceDN w:val="0"/>
        <w:autoSpaceDE w:val="0"/>
        <w:widowControl/>
        <w:spacing w:line="245" w:lineRule="auto" w:before="210" w:after="0"/>
        <w:ind w:left="2156" w:right="278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any person who proves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satisfaction of the Commissioner-General by a claim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made in writing that he has paid any stamp duty—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06" w:after="0"/>
        <w:ind w:left="241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excess of the amount properly payable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him; or</w:t>
      </w:r>
    </w:p>
    <w:p>
      <w:pPr>
        <w:autoSpaceDN w:val="0"/>
        <w:autoSpaceDE w:val="0"/>
        <w:widowControl/>
        <w:spacing w:line="245" w:lineRule="auto" w:before="206" w:after="0"/>
        <w:ind w:left="2756" w:right="278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erroneously on an instrument to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stamp duty relates and is found that he was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liable to pay such stamp duty under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Stamp Duty (Special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Provisions) Act, No. 12 of 2006,</w:t>
      </w:r>
    </w:p>
    <w:p>
      <w:pPr>
        <w:autoSpaceDN w:val="0"/>
        <w:autoSpaceDE w:val="0"/>
        <w:widowControl/>
        <w:spacing w:line="247" w:lineRule="auto" w:before="206" w:after="0"/>
        <w:ind w:left="2156" w:right="27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refunded the amount so paid, out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 collected as stamp duty during any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prior to transfer to the Provincial Councils.”;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86" w:val="left"/>
          <w:tab w:pos="4380" w:val="left"/>
        </w:tabs>
        <w:autoSpaceDE w:val="0"/>
        <w:widowControl/>
        <w:spacing w:line="245" w:lineRule="auto" w:before="0" w:after="0"/>
        <w:ind w:left="2802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Provincial Councils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(Transfer of Stamp Duty) (Amendment) Act, No. 6 of 2022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renumbered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the following:—</w:t>
      </w:r>
    </w:p>
    <w:p>
      <w:pPr>
        <w:autoSpaceDN w:val="0"/>
        <w:autoSpaceDE w:val="0"/>
        <w:widowControl/>
        <w:spacing w:line="259" w:lineRule="auto" w:before="234" w:after="0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The provisions of section 11 of the Stamp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(Special Provisions) Act, No. 12 of 2006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apply to all claims for refund under this section.</w:t>
      </w:r>
    </w:p>
    <w:p>
      <w:pPr>
        <w:autoSpaceDN w:val="0"/>
        <w:autoSpaceDE w:val="0"/>
        <w:widowControl/>
        <w:spacing w:line="262" w:lineRule="auto" w:before="232" w:after="174"/>
        <w:ind w:left="3502" w:right="1436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For the purpose of this section,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“Commissioner-General” shall have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 in the Inland Revenue Act, No. 24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2017.”.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3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3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Provincial Councils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13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50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(Transfer of Stamp Duty) (Amendment) Act, No. 6 of 2022</w:t>
      </w:r>
    </w:p>
    <w:p>
      <w:pPr>
        <w:autoSpaceDN w:val="0"/>
        <w:autoSpaceDE w:val="0"/>
        <w:widowControl/>
        <w:spacing w:line="245" w:lineRule="auto" w:before="864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