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50" w:after="0"/>
        <w:ind w:left="1440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FAUNA  AND  FLORA  PROTECTION (AMENDMENT) </w:t>
      </w:r>
      <w:r>
        <w:rPr>
          <w:rFonts w:ascii="Times" w:hAnsi="Times" w:eastAsia="Times"/>
          <w:b/>
          <w:i w:val="0"/>
          <w:color w:val="221F1F"/>
          <w:sz w:val="26"/>
        </w:rPr>
        <w:t>ACT, No. 7 OF 2022</w:t>
      </w:r>
    </w:p>
    <w:p>
      <w:pPr>
        <w:autoSpaceDN w:val="0"/>
        <w:autoSpaceDE w:val="0"/>
        <w:widowControl/>
        <w:spacing w:line="238" w:lineRule="auto" w:before="774" w:after="0"/>
        <w:ind w:left="0" w:right="299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02nd of March, 2022]</w:t>
      </w:r>
    </w:p>
    <w:p>
      <w:pPr>
        <w:autoSpaceDN w:val="0"/>
        <w:autoSpaceDE w:val="0"/>
        <w:widowControl/>
        <w:spacing w:line="238" w:lineRule="auto" w:before="4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March 04,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9.00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26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Fauna and Flora Protection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7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7 of 2022</w:t>
      </w:r>
    </w:p>
    <w:p>
      <w:pPr>
        <w:autoSpaceDN w:val="0"/>
        <w:autoSpaceDE w:val="0"/>
        <w:widowControl/>
        <w:spacing w:line="238" w:lineRule="auto" w:before="270" w:after="0"/>
        <w:ind w:left="0" w:right="3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02nd of March, 2022]</w:t>
      </w:r>
    </w:p>
    <w:p>
      <w:pPr>
        <w:autoSpaceDN w:val="0"/>
        <w:autoSpaceDE w:val="0"/>
        <w:widowControl/>
        <w:spacing w:line="235" w:lineRule="auto" w:before="23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D.— O. 13/2017</w:t>
      </w:r>
    </w:p>
    <w:p>
      <w:pPr>
        <w:autoSpaceDN w:val="0"/>
        <w:autoSpaceDE w:val="0"/>
        <w:widowControl/>
        <w:spacing w:line="245" w:lineRule="auto" w:before="222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AUNA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LORA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469)</w:t>
      </w:r>
    </w:p>
    <w:p>
      <w:pPr>
        <w:autoSpaceDN w:val="0"/>
        <w:autoSpaceDE w:val="0"/>
        <w:widowControl/>
        <w:spacing w:line="245" w:lineRule="auto" w:before="224" w:after="14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Fauna and Flora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456" w:after="0"/>
              <w:ind w:left="136" w:right="7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long title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469</w:t>
            </w:r>
          </w:p>
        </w:tc>
      </w:tr>
      <w:tr>
        <w:trPr>
          <w:trHeight w:hRule="exact" w:val="139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Protection (Amendment) Act, No. 7 of 2022.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736" w:right="104" w:firstLine="20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long title to the Fauna and Flora Protection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 (Chapter 469) (hereinafter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“principal enactment”) is hereby repealed and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long title substituted therefor:—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0" w:after="140"/>
        <w:ind w:left="2036" w:right="276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“AN ORDINANCE TO PROVIDE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AND CONSERVATION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FAUNA AND FLORA OF SRI LANKA AND THEIR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HABITATS; FOR THE PREVENTION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AND OTHER MISUSE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FAUNA AND FLORA AND THEIR HABITATS;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CONSERVATION OF BIODIVERSITY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LANKA; TO TAKE SUCH MEASURES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EFFECT TO THE CONVENTION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TRADE IN ENDANGERED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SPECIES OF WILD FAUNA AND FLORA (CITES);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PROVIDE FOR MATTERS CONNECTED </w:t>
      </w:r>
      <w:r>
        <w:rPr>
          <w:rFonts w:ascii="Times" w:hAnsi="Times" w:eastAsia="Times"/>
          <w:b w:val="0"/>
          <w:i w:val="0"/>
          <w:color w:val="000000"/>
          <w:sz w:val="20"/>
        </w:rPr>
        <w:t>THEREWITH OR INCIDENTAL THERETO.”.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71 of the principal enactment is hereby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71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10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(2) thereof, by the insertion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subsection,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paragraphs:–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0" w:after="0"/>
        <w:ind w:left="2176" w:right="2762" w:hanging="49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fa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matters necessary for the enforcement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Convention on International Trade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Endangered Species of Wild Fauna and Flora </w:t>
      </w:r>
      <w:r>
        <w:rPr>
          <w:rFonts w:ascii="Times" w:hAnsi="Times" w:eastAsia="Times"/>
          <w:b w:val="0"/>
          <w:i w:val="0"/>
          <w:color w:val="000000"/>
          <w:sz w:val="20"/>
        </w:rPr>
        <w:t>(CITES), subject to the prior written approved of</w:t>
      </w:r>
    </w:p>
    <w:p>
      <w:pPr>
        <w:autoSpaceDN w:val="0"/>
        <w:autoSpaceDE w:val="0"/>
        <w:widowControl/>
        <w:spacing w:line="238" w:lineRule="auto" w:before="2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Cabinet of Ministers;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6" w:val="left"/>
          <w:tab w:pos="4468" w:val="left"/>
        </w:tabs>
        <w:autoSpaceDE w:val="0"/>
        <w:widowControl/>
        <w:spacing w:line="245" w:lineRule="auto" w:before="0" w:after="0"/>
        <w:ind w:left="2802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Fauna and Flora Protection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7 of 2022</w:t>
      </w:r>
    </w:p>
    <w:p>
      <w:pPr>
        <w:autoSpaceDN w:val="0"/>
        <w:autoSpaceDE w:val="0"/>
        <w:widowControl/>
        <w:spacing w:line="266" w:lineRule="auto" w:before="268" w:after="158"/>
        <w:ind w:left="3502" w:right="1436" w:hanging="49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 of ad-hoc committees,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obtaining their recommendations on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 to be issued under the Convention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Trade in Endangered Species of Wild </w:t>
      </w:r>
      <w:r>
        <w:rPr>
          <w:rFonts w:ascii="Times" w:hAnsi="Times" w:eastAsia="Times"/>
          <w:b w:val="0"/>
          <w:i w:val="0"/>
          <w:color w:val="000000"/>
          <w:sz w:val="20"/>
        </w:rPr>
        <w:t>Fauna and Flora (CITES);”.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2"/>
        <w:ind w:left="0" w:right="0"/>
      </w:pPr>
    </w:p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Fauna and Flora Protection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7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7 of 2022</w:t>
      </w:r>
    </w:p>
    <w:p>
      <w:pPr>
        <w:autoSpaceDN w:val="0"/>
        <w:autoSpaceDE w:val="0"/>
        <w:widowControl/>
        <w:spacing w:line="245" w:lineRule="auto" w:before="880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