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460" w:val="left"/>
        </w:tabs>
        <w:autoSpaceDE w:val="0"/>
        <w:widowControl/>
        <w:spacing w:line="288" w:lineRule="exact" w:before="640" w:after="0"/>
        <w:ind w:left="1946" w:right="144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WORKMEN’S COMPENSATION (AMENDMENT) </w:t>
      </w:r>
      <w:r>
        <w:tab/>
      </w:r>
      <w:r>
        <w:rPr>
          <w:rFonts w:ascii="Times" w:hAnsi="Times" w:eastAsia="Times"/>
          <w:b/>
          <w:i w:val="0"/>
          <w:color w:val="221F1F"/>
          <w:sz w:val="24"/>
        </w:rPr>
        <w:t>ACT, No. 10 OF 2022</w:t>
      </w:r>
    </w:p>
    <w:p>
      <w:pPr>
        <w:autoSpaceDN w:val="0"/>
        <w:autoSpaceDE w:val="0"/>
        <w:widowControl/>
        <w:spacing w:line="276" w:lineRule="exact" w:before="846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19th of March, 2022]</w:t>
      </w:r>
    </w:p>
    <w:p>
      <w:pPr>
        <w:autoSpaceDN w:val="0"/>
        <w:autoSpaceDE w:val="0"/>
        <w:widowControl/>
        <w:spacing w:line="244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25,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58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19th of March, 2022]</w:t>
      </w:r>
    </w:p>
    <w:p>
      <w:pPr>
        <w:autoSpaceDN w:val="0"/>
        <w:autoSpaceDE w:val="0"/>
        <w:widowControl/>
        <w:spacing w:line="266" w:lineRule="exact" w:before="2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62/2018</w:t>
      </w:r>
    </w:p>
    <w:p>
      <w:pPr>
        <w:autoSpaceDN w:val="0"/>
        <w:autoSpaceDE w:val="0"/>
        <w:widowControl/>
        <w:spacing w:line="248" w:lineRule="exact" w:before="244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ORKMEN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OMPENSATION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139)</w:t>
      </w:r>
    </w:p>
    <w:p>
      <w:pPr>
        <w:autoSpaceDN w:val="0"/>
        <w:autoSpaceDE w:val="0"/>
        <w:widowControl/>
        <w:spacing w:line="244" w:lineRule="exact" w:before="248" w:after="1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0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36" w:lineRule="exact" w:before="10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Workmen’s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(Amendment) Act, No. 10 of 2022.</w:t>
            </w:r>
          </w:p>
          <w:p>
            <w:pPr>
              <w:autoSpaceDN w:val="0"/>
              <w:autoSpaceDE w:val="0"/>
              <w:widowControl/>
              <w:spacing w:line="244" w:lineRule="exact" w:before="2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to the Workmen’s 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(Chapter 139) (hereinafter in this Act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the “principal enactment”) is hereby amended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substitution, for the words “who are injured in the course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employment.” of the words “who are injured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course of their employment or while coming from their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residence to the work place or while returing back to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residence from the work place.”.</w:t>
            </w:r>
          </w:p>
          <w:p>
            <w:pPr>
              <w:autoSpaceDN w:val="0"/>
              <w:autoSpaceDE w:val="0"/>
              <w:widowControl/>
              <w:spacing w:line="242" w:lineRule="exact" w:before="262" w:after="0"/>
              <w:ind w:left="738" w:right="10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insertion immediately after the definition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expression “partial disablement”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definition:–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192" w:lineRule="exact" w:before="57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long title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139</w:t>
            </w:r>
          </w:p>
          <w:p>
            <w:pPr>
              <w:autoSpaceDN w:val="0"/>
              <w:autoSpaceDE w:val="0"/>
              <w:widowControl/>
              <w:spacing w:line="192" w:lineRule="exact" w:before="161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203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““place of residence” includes any permanent place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residence of a workman or a boarding house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place where a workman resides temporarily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coming to his workplace;”.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738" w:right="10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“in the course of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employment,” of the words “in the course of his 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by an accident took place while coming from his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residence to the work place or while returning back to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residence from the work place,”.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12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03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273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</w:tr>
      <w:tr>
        <w:trPr>
          <w:trHeight w:hRule="exact" w:val="5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  <w:p>
            <w:pPr>
              <w:autoSpaceDN w:val="0"/>
              <w:autoSpaceDE w:val="0"/>
              <w:widowControl/>
              <w:spacing w:line="264" w:lineRule="exact" w:before="246" w:after="0"/>
              <w:ind w:left="144" w:right="71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“in the course of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employment.” of the words “in the course of his 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 while coming from his place of residence to the work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or while returning back to his place of residence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place.”.</w:t>
            </w:r>
          </w:p>
          <w:p>
            <w:pPr>
              <w:autoSpaceDN w:val="0"/>
              <w:autoSpaceDE w:val="0"/>
              <w:widowControl/>
              <w:spacing w:line="264" w:lineRule="exact" w:before="282" w:after="0"/>
              <w:ind w:left="144" w:right="71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“in the course of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employment,” of the words  “in the course of his 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by an accident took place while coming from his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residence to the work place, or while returning back to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residence from the work place.”.</w:t>
            </w:r>
          </w:p>
          <w:p>
            <w:pPr>
              <w:autoSpaceDN w:val="0"/>
              <w:autoSpaceDE w:val="0"/>
              <w:widowControl/>
              <w:spacing w:line="258" w:lineRule="exact" w:before="288" w:after="0"/>
              <w:ind w:left="144" w:right="71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6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“The nature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taken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62" w:right="71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Notwithstanding anything contained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6, in the case of permanent or partial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disablement, the nature of employment of a</w:t>
            </w:r>
          </w:p>
        </w:tc>
      </w:tr>
      <w:tr>
        <w:trPr>
          <w:trHeight w:hRule="exact" w:val="1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amount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workman in relation to any injury shall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consideration in calculating the 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compensation. Such compensation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on the medical report 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doctor.”.</w:t>
            </w:r>
          </w:p>
        </w:tc>
      </w:tr>
      <w:tr>
        <w:trPr>
          <w:trHeight w:hRule="exact" w:val="10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8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subsection (1) of that section by the insertion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of the following paragraph:–</w:t>
            </w:r>
          </w:p>
        </w:tc>
      </w:tr>
    </w:tbl>
    <w:p>
      <w:pPr>
        <w:autoSpaceDN w:val="0"/>
        <w:autoSpaceDE w:val="0"/>
        <w:widowControl/>
        <w:spacing w:line="266" w:lineRule="exact" w:before="166" w:after="0"/>
        <w:ind w:left="3502" w:right="1436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daily paid or piece rated workman,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monthly wages of scuh workman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aggregate of earnings of daily payments or piece </w:t>
      </w:r>
      <w:r>
        <w:rPr>
          <w:rFonts w:ascii="Times" w:hAnsi="Times" w:eastAsia="Times"/>
          <w:b w:val="0"/>
          <w:i w:val="0"/>
          <w:color w:val="221F1F"/>
          <w:sz w:val="20"/>
        </w:rPr>
        <w:t>rates for the last twelve months during which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76" w:lineRule="exact" w:before="168" w:after="22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workman has been in service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accident, divided by twelve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 divided by twenty five.”.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proviso to subsection (1),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 exceeding an aggregate of ten thousand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18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rupees,” of the words “not exceeding an aggregate of twenty </w:t>
      </w:r>
      <w:r>
        <w:rPr>
          <w:rFonts w:ascii="Times" w:hAnsi="Times" w:eastAsia="Times"/>
          <w:b w:val="0"/>
          <w:i w:val="0"/>
          <w:color w:val="221F1F"/>
          <w:sz w:val="20"/>
        </w:rPr>
        <w:t>thousand rupees,”.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(1)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4" w:lineRule="exact" w:before="214" w:after="0"/>
        <w:ind w:left="167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On the deposit of any money under section 11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in respect of a deceased workman,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shall deduct therefrom the actual cost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workman’s funeral expenses to an amount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and pay the same </w:t>
      </w:r>
      <w:r>
        <w:rPr>
          <w:rFonts w:ascii="Times" w:hAnsi="Times" w:eastAsia="Times"/>
          <w:b w:val="0"/>
          <w:i w:val="0"/>
          <w:color w:val="221F1F"/>
          <w:sz w:val="20"/>
        </w:rPr>
        <w:t>to the person by whom such expenses were incurred.</w:t>
      </w:r>
    </w:p>
    <w:p>
      <w:pPr>
        <w:autoSpaceDN w:val="0"/>
        <w:autoSpaceDE w:val="0"/>
        <w:widowControl/>
        <w:spacing w:line="274" w:lineRule="exact" w:before="276" w:after="0"/>
        <w:ind w:left="167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(1A) The Commissioner shall cause a notice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each dependent of the deceased resident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requesting such dependents to appear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on such date as he may fix, to determine the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compensation. If the Commissioner is satisfied,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inquiry which he may deem necessary, that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dependent exists, he shall repay the balance of the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employer by whom it was paid, but no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repayment shall be made until after the expiry of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twelve months reckoned from the date on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was deposited under section 11.  The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application by the employer, furnish a settlement </w:t>
      </w:r>
      <w:r>
        <w:rPr>
          <w:rFonts w:ascii="Times" w:hAnsi="Times" w:eastAsia="Times"/>
          <w:b w:val="0"/>
          <w:i w:val="0"/>
          <w:color w:val="221F1F"/>
          <w:sz w:val="20"/>
        </w:rPr>
        <w:t>of all disbursements made.”.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7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</w:tr>
      <w:tr>
        <w:trPr>
          <w:trHeight w:hRule="exact" w:val="39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  <w:p>
            <w:pPr>
              <w:autoSpaceDN w:val="0"/>
              <w:autoSpaceDE w:val="0"/>
              <w:widowControl/>
              <w:spacing w:line="258" w:lineRule="exact" w:before="248" w:after="0"/>
              <w:ind w:left="12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Secution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“within two years of the occurrence of the accident”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“within two years of the occurrence of the accident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case of death, within two years from the date of death.”.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50" w:lineRule="exact" w:before="280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84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“fine not exceeding 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rupees.” of the words “fine not exceeding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 rupees.”;</w:t>
            </w:r>
          </w:p>
        </w:tc>
      </w:tr>
    </w:tbl>
    <w:p>
      <w:pPr>
        <w:autoSpaceDN w:val="0"/>
        <w:tabs>
          <w:tab w:pos="3502" w:val="left"/>
        </w:tabs>
        <w:autoSpaceDE w:val="0"/>
        <w:widowControl/>
        <w:spacing w:line="260" w:lineRule="exact" w:before="200" w:after="0"/>
        <w:ind w:left="315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immediately after subsection (2), by the insertion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following:–</w:t>
      </w:r>
    </w:p>
    <w:p>
      <w:pPr>
        <w:autoSpaceDN w:val="0"/>
        <w:autoSpaceDE w:val="0"/>
        <w:widowControl/>
        <w:spacing w:line="260" w:lineRule="exact" w:before="260" w:after="194"/>
        <w:ind w:left="3502" w:right="145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Every employer shall maintain,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notice book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a record book, in which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details of any accident at any factory or 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is included. The employer shall also appoint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responsible person to be in charge of such record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book. The Commissioner shall have access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book and call for extracts or copies thereof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inspection.”.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38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6" w:lineRule="exact" w:before="94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842" w:right="716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in subsection (1) thereof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“in the course of his employment,”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“in the course of his employment or while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coming from his place of residence to the work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or while returning back to his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from the work place,”;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240" w:lineRule="exact" w:before="216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immediately after subsection (4)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insertion of the following:–</w:t>
      </w:r>
    </w:p>
    <w:p>
      <w:pPr>
        <w:autoSpaceDN w:val="0"/>
        <w:autoSpaceDE w:val="0"/>
        <w:widowControl/>
        <w:spacing w:line="238" w:lineRule="exact" w:before="240" w:after="148"/>
        <w:ind w:left="2518" w:right="278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“(5) The Commissioner may determine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 which is not more than fifty thousand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payable by the employer as funeral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of the deceased workman.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shall be in addition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payable by the employer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deposited with the Commissioner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next of kin of such workman, by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8" w:after="0"/>
              <w:ind w:left="736" w:right="10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and the following new section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thererfor:–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4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“Imposition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surcharge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employer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failure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due date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78" w:right="102" w:firstLine="35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Any employer who, being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 any sum due as compensation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workman or his heirs, as the case may be,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fails or defaults to pay that sum, 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due date, he shall be liable to pay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workman or his heirs, as the case amy be,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addition to the sum due as compensation,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surcharge on that sum calculated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manner:–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80" w:after="0"/>
        <w:ind w:left="3118" w:right="278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payment of the compensation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in arrears for a period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month from the due date,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surcharge of ten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sum due as compensation;</w:t>
      </w:r>
    </w:p>
    <w:p>
      <w:pPr>
        <w:autoSpaceDN w:val="0"/>
        <w:autoSpaceDE w:val="0"/>
        <w:widowControl/>
        <w:spacing w:line="242" w:lineRule="exact" w:before="236" w:after="0"/>
        <w:ind w:left="3116" w:right="2782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payment of the compensation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in arrears for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month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 from the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a surcharge of fifteen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sum due as compensation;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</w:tr>
    </w:tbl>
    <w:p>
      <w:pPr>
        <w:autoSpaceDN w:val="0"/>
        <w:autoSpaceDE w:val="0"/>
        <w:widowControl/>
        <w:spacing w:line="226" w:lineRule="exact" w:before="212" w:after="0"/>
        <w:ind w:left="4462" w:right="143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payment of the compensation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in arrears for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 but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six months from the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a surcharge of twenty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sum due as compensation;</w:t>
      </w:r>
    </w:p>
    <w:p>
      <w:pPr>
        <w:autoSpaceDN w:val="0"/>
        <w:tabs>
          <w:tab w:pos="4462" w:val="left"/>
          <w:tab w:pos="5342" w:val="left"/>
          <w:tab w:pos="5756" w:val="left"/>
          <w:tab w:pos="6260" w:val="left"/>
          <w:tab w:pos="6854" w:val="left"/>
          <w:tab w:pos="7402" w:val="left"/>
        </w:tabs>
        <w:autoSpaceDE w:val="0"/>
        <w:widowControl/>
        <w:spacing w:line="222" w:lineRule="exact" w:before="222" w:after="0"/>
        <w:ind w:left="4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payment of the compensation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in arrears for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six months but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twelve months from the due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a surcharge of twenty-five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centum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compensation; or</w:t>
      </w:r>
    </w:p>
    <w:p>
      <w:pPr>
        <w:autoSpaceDN w:val="0"/>
        <w:autoSpaceDE w:val="0"/>
        <w:widowControl/>
        <w:spacing w:line="222" w:lineRule="exact" w:before="222" w:after="118"/>
        <w:ind w:left="4462" w:right="143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payment of the compensation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in arrears for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twelve months from the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a surcharge of  thirty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sum due as compensation.”.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85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0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2" w:after="0"/>
              <w:ind w:left="262" w:right="71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27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Registrar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8" w:after="0"/>
              <w:ind w:left="6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There shall be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Service Commission, a Registrar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Workmen’s Compensation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Act.”.</w:t>
            </w:r>
          </w:p>
        </w:tc>
      </w:tr>
      <w:tr>
        <w:trPr>
          <w:trHeight w:hRule="exact" w:val="27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2" w:after="0"/>
              <w:ind w:left="26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following:–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522" w:right="716" w:firstLine="3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“(2) If any sum referred to in subsection (1) cannot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recovered in the manner specified in that subsection,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Commissioner may make an order for the recovery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sum by the seizure or sale of immovable property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defaulter. The registrar of workmen’s compensation,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27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shall execute such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registrar of the relevant Disrtict Court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jurisdiction such defaulter resides. The provisions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206"/>
        <w:ind w:left="169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Civil Procedure Code (Chapter 101)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seizure and sale of immovable property by the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execution of a Writ issued by a court and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and adjudication of claims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seized by the Fiscal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seizure and sale of immovable property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recovery of the sum specified in the Commissioner’s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order, made by the Commissioner under this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the making and adjudication of claims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immovable property seized for the recovery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sum. For the purpose of application of such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so specified shall be deemed to be due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decree entered by the court and the Commissioner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the judgment-creditor and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liable to pay such sum shall be deemed to be a judgment-</w:t>
      </w:r>
      <w:r>
        <w:rPr>
          <w:rFonts w:ascii="Times" w:hAnsi="Times" w:eastAsia="Times"/>
          <w:b w:val="0"/>
          <w:i w:val="0"/>
          <w:color w:val="221F1F"/>
          <w:sz w:val="20"/>
        </w:rPr>
        <w:t>debtor.”.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“fraud or undue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influence or other improper means,” of the words “fraud,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undue influence or other improper means, or due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miscalculation or underestimation of the amount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payable to the workman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memorandum of agreement,”.</w:t>
            </w:r>
          </w:p>
          <w:p>
            <w:pPr>
              <w:autoSpaceDN w:val="0"/>
              <w:autoSpaceDE w:val="0"/>
              <w:widowControl/>
              <w:spacing w:line="264" w:lineRule="exact" w:before="278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“to a fine not exceeding one thousand rupees.”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“to a fine not exceeding one hundred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rupees.”.</w:t>
            </w:r>
          </w:p>
          <w:p>
            <w:pPr>
              <w:autoSpaceDN w:val="0"/>
              <w:autoSpaceDE w:val="0"/>
              <w:widowControl/>
              <w:spacing w:line="262" w:lineRule="exact" w:before="28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hundred rupees.” of the words “to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rupees.”.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35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82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</w:tr>
      <w:tr>
        <w:trPr>
          <w:trHeight w:hRule="exact" w:val="14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1808" w:val="left"/>
              </w:tabs>
              <w:autoSpaceDE w:val="0"/>
              <w:widowControl/>
              <w:spacing w:line="354" w:lineRule="exact" w:before="0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Act, No. 10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“value of one hundred rupees” of the words “value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292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two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7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6" w:after="0"/>
              <w:ind w:left="18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Appeal”, of the words and figures “The High Court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294"/>
        <w:ind w:left="0" w:right="2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established under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7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4" w:after="0"/>
              <w:ind w:left="18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substitution, for the words “by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Appeal”, of the words and figures “by the High Court</w:t>
            </w:r>
          </w:p>
        </w:tc>
      </w:tr>
    </w:tbl>
    <w:p>
      <w:pPr>
        <w:autoSpaceDN w:val="0"/>
        <w:autoSpaceDE w:val="0"/>
        <w:widowControl/>
        <w:spacing w:line="268" w:lineRule="exact" w:before="20" w:after="288"/>
        <w:ind w:left="0" w:right="2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established under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7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8" w:after="0"/>
              <w:ind w:left="12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the course of his employment,” of the words</w:t>
            </w:r>
          </w:p>
        </w:tc>
      </w:tr>
    </w:tbl>
    <w:p>
      <w:pPr>
        <w:autoSpaceDN w:val="0"/>
        <w:autoSpaceDE w:val="0"/>
        <w:widowControl/>
        <w:spacing w:line="268" w:lineRule="exact" w:before="2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“in the course of his employment or by an accident took</w:t>
      </w:r>
    </w:p>
    <w:p>
      <w:pPr>
        <w:autoSpaceDN w:val="0"/>
        <w:autoSpaceDE w:val="0"/>
        <w:widowControl/>
        <w:spacing w:line="308" w:lineRule="exact" w:before="4" w:after="0"/>
        <w:ind w:left="2736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while coming from his place of residence to the work </w:t>
      </w:r>
      <w:r>
        <w:rPr>
          <w:rFonts w:ascii="Times" w:hAnsi="Times" w:eastAsia="Times"/>
          <w:b w:val="0"/>
          <w:i w:val="0"/>
          <w:color w:val="221F1F"/>
          <w:sz w:val="20"/>
        </w:rPr>
        <w:t>place or while returning back to his place of residence from</w:t>
      </w:r>
    </w:p>
    <w:p>
      <w:pPr>
        <w:autoSpaceDN w:val="0"/>
        <w:autoSpaceDE w:val="0"/>
        <w:widowControl/>
        <w:spacing w:line="266" w:lineRule="exact" w:before="44" w:after="292"/>
        <w:ind w:left="0" w:right="4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work place.”.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7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6" w:after="0"/>
              <w:ind w:left="12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“in the course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employment,” of the words “in the course of his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employment or by an accident took place while coming</w:t>
      </w:r>
    </w:p>
    <w:p>
      <w:pPr>
        <w:autoSpaceDN w:val="0"/>
        <w:autoSpaceDE w:val="0"/>
        <w:widowControl/>
        <w:spacing w:line="310" w:lineRule="exact" w:before="0" w:after="0"/>
        <w:ind w:left="278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his place of residence to the work place or while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returning back to his place of residence from the work </w:t>
      </w:r>
      <w:r>
        <w:rPr>
          <w:rFonts w:ascii="Times" w:hAnsi="Times" w:eastAsia="Times"/>
          <w:b w:val="0"/>
          <w:i w:val="0"/>
          <w:color w:val="221F1F"/>
          <w:sz w:val="20"/>
        </w:rPr>
        <w:t>place, 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05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I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1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17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  <w:p>
            <w:pPr>
              <w:autoSpaceDN w:val="0"/>
              <w:autoSpaceDE w:val="0"/>
              <w:widowControl/>
              <w:spacing w:line="258" w:lineRule="exact" w:before="278" w:after="0"/>
              <w:ind w:left="736" w:right="10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“in the course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employment,” of the words “in the course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employment or by an accident took place while coming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his place of residence to the work place or while returning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back to his place of residence from the work place,”.</w:t>
            </w:r>
          </w:p>
          <w:p>
            <w:pPr>
              <w:autoSpaceDN w:val="0"/>
              <w:autoSpaceDE w:val="0"/>
              <w:widowControl/>
              <w:spacing w:line="248" w:lineRule="exact" w:before="284" w:after="722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Schedule I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Schedule substituted therefor:–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60.0" w:type="dxa"/>
            </w:tblPr>
            <w:tblGrid>
              <w:gridCol w:w="2820"/>
              <w:gridCol w:w="2820"/>
            </w:tblGrid>
            <w:tr>
              <w:trPr>
                <w:trHeight w:hRule="exact" w:val="498"/>
              </w:trPr>
              <w:tc>
                <w:tcPr>
                  <w:tcW w:type="dxa" w:w="2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0" w:after="0"/>
                    <w:ind w:left="0" w:right="6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“Schedule I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74" w:after="0"/>
                    <w:ind w:left="0" w:right="4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(section 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36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List of injuiries deemed to result in permanent/partial disablement</w:t>
      </w:r>
    </w:p>
    <w:p>
      <w:pPr>
        <w:autoSpaceDN w:val="0"/>
        <w:tabs>
          <w:tab w:pos="4932" w:val="left"/>
          <w:tab w:pos="5210" w:val="left"/>
          <w:tab w:pos="5278" w:val="left"/>
        </w:tabs>
        <w:autoSpaceDE w:val="0"/>
        <w:widowControl/>
        <w:spacing w:line="214" w:lineRule="exact" w:before="206" w:after="146"/>
        <w:ind w:left="2658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Injury 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Percentage of loss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of earning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capacity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4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7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Permanent and incurable paralysis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limbs or injuries resulting in being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bedridden</w:t>
            </w:r>
          </w:p>
          <w:p>
            <w:pPr>
              <w:autoSpaceDN w:val="0"/>
              <w:autoSpaceDE w:val="0"/>
              <w:widowControl/>
              <w:spacing w:line="202" w:lineRule="exact" w:before="204" w:after="0"/>
              <w:ind w:left="73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Permanent incurable loss of mental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capacity resulting in fatal incapacity to work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other injury causing fatal incapacity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214" w:lineRule="exact" w:before="796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</w:tr>
    </w:tbl>
    <w:p>
      <w:pPr>
        <w:autoSpaceDN w:val="0"/>
        <w:tabs>
          <w:tab w:pos="1848" w:val="left"/>
          <w:tab w:pos="1894" w:val="left"/>
          <w:tab w:pos="5406" w:val="left"/>
          <w:tab w:pos="5498" w:val="left"/>
        </w:tabs>
        <w:autoSpaceDE w:val="0"/>
        <w:widowControl/>
        <w:spacing w:line="396" w:lineRule="exact" w:before="0" w:after="0"/>
        <w:ind w:left="1438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Eye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sight in both eyes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sight in one eye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Hearing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hearing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hearing in one 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</w:tr>
    </w:tbl>
    <w:p>
      <w:pPr>
        <w:autoSpaceDN w:val="0"/>
        <w:autoSpaceDE w:val="0"/>
        <w:widowControl/>
        <w:spacing w:line="214" w:lineRule="exact" w:before="178" w:after="0"/>
        <w:ind w:left="0" w:right="50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Loss of Speech</w:t>
      </w:r>
    </w:p>
    <w:p>
      <w:pPr>
        <w:autoSpaceDN w:val="0"/>
        <w:tabs>
          <w:tab w:pos="6752" w:val="left"/>
        </w:tabs>
        <w:autoSpaceDE w:val="0"/>
        <w:widowControl/>
        <w:spacing w:line="214" w:lineRule="exact" w:before="194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speech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100</w:t>
      </w:r>
    </w:p>
    <w:p>
      <w:pPr>
        <w:autoSpaceDN w:val="0"/>
        <w:autoSpaceDE w:val="0"/>
        <w:widowControl/>
        <w:spacing w:line="212" w:lineRule="exact" w:before="190" w:after="0"/>
        <w:ind w:left="0" w:right="51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Sensory Loss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2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sense of smell and taste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0" w:after="0"/>
        <w:ind w:left="3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Total loss of sense of smell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tabs>
          <w:tab w:pos="6844" w:val="left"/>
        </w:tabs>
        <w:autoSpaceDE w:val="0"/>
        <w:widowControl/>
        <w:spacing w:line="212" w:lineRule="exact" w:before="190" w:after="0"/>
        <w:ind w:left="31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Total loss of sense of taste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60</w:t>
      </w:r>
    </w:p>
    <w:p>
      <w:pPr>
        <w:autoSpaceDN w:val="0"/>
        <w:autoSpaceDE w:val="0"/>
        <w:widowControl/>
        <w:spacing w:line="214" w:lineRule="exact" w:before="192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Arm Injuries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0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Loss of arm at or above elbow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tabs>
          <w:tab w:pos="6844" w:val="left"/>
        </w:tabs>
        <w:autoSpaceDE w:val="0"/>
        <w:widowControl/>
        <w:spacing w:line="212" w:lineRule="exact" w:before="190" w:after="0"/>
        <w:ind w:left="3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Loss of arm at or below elbow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80</w:t>
      </w:r>
    </w:p>
    <w:p>
      <w:pPr>
        <w:autoSpaceDN w:val="0"/>
        <w:autoSpaceDE w:val="0"/>
        <w:widowControl/>
        <w:spacing w:line="214" w:lineRule="exact" w:before="192" w:after="13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Hand Injuries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2150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2" w:val="left"/>
                <w:tab w:pos="1644" w:val="left"/>
                <w:tab w:pos="1680" w:val="left"/>
                <w:tab w:pos="1942" w:val="left"/>
              </w:tabs>
              <w:autoSpaceDE w:val="0"/>
              <w:widowControl/>
              <w:spacing w:line="348" w:lineRule="exact" w:before="0" w:after="0"/>
              <w:ind w:left="15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(i) Loss of both hands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(ii) Loss of hand or loss of thumb and four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fingers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(iii) Loss of thumb (both phalanges)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(iv) Loss of thumb (one phalanx)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(v) Loss of four fingers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  <w:p>
            <w:pPr>
              <w:autoSpaceDN w:val="0"/>
              <w:autoSpaceDE w:val="0"/>
              <w:widowControl/>
              <w:spacing w:line="404" w:lineRule="exact" w:before="200" w:after="0"/>
              <w:ind w:left="304" w:right="9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</w:tr>
    </w:tbl>
    <w:p>
      <w:pPr>
        <w:autoSpaceDN w:val="0"/>
        <w:autoSpaceDE w:val="0"/>
        <w:widowControl/>
        <w:spacing w:line="214" w:lineRule="exact" w:before="132" w:after="0"/>
        <w:ind w:left="0" w:right="4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Loss of Index finger</w:t>
      </w:r>
    </w:p>
    <w:p>
      <w:pPr>
        <w:autoSpaceDN w:val="0"/>
        <w:tabs>
          <w:tab w:pos="6844" w:val="left"/>
        </w:tabs>
        <w:autoSpaceDE w:val="0"/>
        <w:widowControl/>
        <w:spacing w:line="212" w:lineRule="exact" w:before="190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Three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0" w:after="0"/>
        <w:ind w:left="3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Two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40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2" w:after="0"/>
        <w:ind w:left="3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</w:t>
      </w:r>
    </w:p>
    <w:p>
      <w:pPr>
        <w:autoSpaceDN w:val="0"/>
        <w:autoSpaceDE w:val="0"/>
        <w:widowControl/>
        <w:spacing w:line="212" w:lineRule="exact" w:before="190" w:after="0"/>
        <w:ind w:left="0" w:right="3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Loss of middle, ring and little fingers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0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Three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2" w:after="0"/>
        <w:ind w:left="3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Two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</w:t>
      </w:r>
    </w:p>
    <w:p>
      <w:pPr>
        <w:autoSpaceDN w:val="0"/>
        <w:tabs>
          <w:tab w:pos="6844" w:val="left"/>
        </w:tabs>
        <w:autoSpaceDE w:val="0"/>
        <w:widowControl/>
        <w:spacing w:line="214" w:lineRule="exact" w:before="194" w:after="0"/>
        <w:ind w:left="31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tabs>
          <w:tab w:pos="1822" w:val="left"/>
          <w:tab w:pos="1866" w:val="left"/>
          <w:tab w:pos="1912" w:val="left"/>
          <w:tab w:pos="2176" w:val="left"/>
          <w:tab w:pos="5426" w:val="left"/>
          <w:tab w:pos="5484" w:val="left"/>
          <w:tab w:pos="5516" w:val="left"/>
          <w:tab w:pos="5518" w:val="left"/>
        </w:tabs>
        <w:autoSpaceDE w:val="0"/>
        <w:widowControl/>
        <w:spacing w:line="414" w:lineRule="exact" w:before="0" w:after="0"/>
        <w:ind w:left="1456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Loss of Leg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at or above knee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at or below knee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Foot Injuries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Loss of both feet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Loss of one foot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Loss of Toes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Great toe-both phalanges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Great toe-one phalanx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Other than great toe, if more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one lost,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Miscellaneous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Total loss of genitals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(ii) Partial loss of genital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Severe facial scarring or disfigurement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(iv) Severe bodily disfigurement,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facial scarring or disfigurement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maximum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(v) Loss of single tooth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(vi) Loss of any member or part thereof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mentioned above (e.g. nose, breast, ear etc.)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assessed by a medical officer up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 maximum of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60.”.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IV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</w:tr>
      <w:tr>
        <w:trPr>
          <w:trHeight w:hRule="exact" w:val="11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1808" w:val="left"/>
              </w:tabs>
              <w:autoSpaceDE w:val="0"/>
              <w:widowControl/>
              <w:spacing w:line="332" w:lineRule="exact" w:before="0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Act, No. 10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Schedule IV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Schedule substituted therefor:–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“Schedule IV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6)</w:t>
            </w:r>
          </w:p>
        </w:tc>
      </w:tr>
    </w:tbl>
    <w:p>
      <w:pPr>
        <w:autoSpaceDN w:val="0"/>
        <w:autoSpaceDE w:val="0"/>
        <w:widowControl/>
        <w:spacing w:line="212" w:lineRule="exact" w:before="112" w:after="74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Amount of Compensation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7984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8.0" w:type="dxa"/>
            </w:tblPr>
            <w:tblGrid>
              <w:gridCol w:w="1260"/>
              <w:gridCol w:w="1260"/>
              <w:gridCol w:w="1260"/>
              <w:gridCol w:w="1260"/>
              <w:gridCol w:w="1260"/>
            </w:tblGrid>
            <w:tr>
              <w:trPr>
                <w:trHeight w:hRule="exact" w:val="1152"/>
              </w:trPr>
              <w:tc>
                <w:tcPr>
                  <w:tcW w:type="dxa" w:w="1900"/>
                  <w:gridSpan w:val="2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Monthly wages of the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workman injured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Death of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workman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42" w:right="0" w:firstLine="36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Permanent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disablement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of workman 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Half monthly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compensation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for temporary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 xml:space="preserve">disablement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of workman</w:t>
                  </w: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2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6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Rs.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6"/>
                    </w:rPr>
                    <w:t>Rs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.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1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0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1,140,000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5,000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12,500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1,180,000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1,240,000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5,625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12,501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6,875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1,260,000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1,320,000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8,125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1,360,000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9,375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22,500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10,625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22,501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1,380,000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1,440,000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11,875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27,500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13,125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27,501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1,460,000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1,520,000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14,375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1,570,000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16,250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1,560,000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5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18,750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21,250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1,660,000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23,750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55,000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1,710,000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1,780,000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4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26,250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55,001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1,760,000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1,830,000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4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28,750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60,001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70,000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1,820,000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1,890,000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5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32,500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70,001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1,880,000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1,960,000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8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37,500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12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80,001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1,940,000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22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42,500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0" w:right="12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90,001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1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100,000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0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47,500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94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2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100,000</w:t>
                  </w:r>
                </w:p>
              </w:tc>
              <w:tc>
                <w:tcPr>
                  <w:tcW w:type="dxa" w:w="9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4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 above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9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2,000,000</w:t>
                  </w:r>
                </w:p>
              </w:tc>
              <w:tc>
                <w:tcPr>
                  <w:tcW w:type="dxa" w:w="105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exact" w:before="36" w:after="0"/>
                    <w:ind w:left="2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47,500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3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Workmen’s Compensation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2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11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2322" w:val="left"/>
              </w:tabs>
              <w:autoSpaceDE w:val="0"/>
              <w:widowControl/>
              <w:spacing w:line="336" w:lineRule="exact" w:before="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Act, No. 10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88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Workmen’s Compensation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10 of 2022</w:t>
            </w:r>
          </w:p>
        </w:tc>
      </w:tr>
    </w:tbl>
    <w:p>
      <w:pPr>
        <w:autoSpaceDN w:val="0"/>
        <w:autoSpaceDE w:val="0"/>
        <w:widowControl/>
        <w:spacing w:line="214" w:lineRule="exact" w:before="8592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4" w:lineRule="exact" w:before="0" w:after="0"/>
        <w:ind w:left="19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