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88" w:lineRule="exact" w:before="574" w:after="0"/>
        <w:ind w:left="2016" w:right="1728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PREVENTION OF TERRORISM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 xml:space="preserve">(TEMPORARY PROVISIONS) (AMENDMENT) </w:t>
      </w:r>
      <w:r>
        <w:rPr>
          <w:rFonts w:ascii="Times" w:hAnsi="Times" w:eastAsia="Times"/>
          <w:b/>
          <w:i w:val="0"/>
          <w:color w:val="221F1F"/>
          <w:sz w:val="24"/>
        </w:rPr>
        <w:t>ACT, No. 12 OF 2022</w:t>
      </w:r>
    </w:p>
    <w:p>
      <w:pPr>
        <w:autoSpaceDN w:val="0"/>
        <w:autoSpaceDE w:val="0"/>
        <w:widowControl/>
        <w:spacing w:line="276" w:lineRule="exact" w:before="624" w:after="0"/>
        <w:ind w:left="0" w:right="3022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29th of March, 2022]</w:t>
      </w:r>
    </w:p>
    <w:p>
      <w:pPr>
        <w:autoSpaceDN w:val="0"/>
        <w:autoSpaceDE w:val="0"/>
        <w:widowControl/>
        <w:spacing w:line="244" w:lineRule="exact" w:before="42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April 01, 2022</w:t>
      </w:r>
    </w:p>
    <w:p>
      <w:pPr>
        <w:autoSpaceDN w:val="0"/>
        <w:autoSpaceDE w:val="0"/>
        <w:widowControl/>
        <w:spacing w:line="214" w:lineRule="exact" w:before="442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86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 Act, No. 12 of 2022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142" w:after="0"/>
        <w:ind w:left="0" w:right="3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29th of March, 2022]</w:t>
      </w:r>
    </w:p>
    <w:p>
      <w:pPr>
        <w:autoSpaceDN w:val="0"/>
        <w:autoSpaceDE w:val="0"/>
        <w:widowControl/>
        <w:spacing w:line="268" w:lineRule="exact" w:before="176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L.D.–O. 1/2022</w:t>
      </w:r>
    </w:p>
    <w:p>
      <w:pPr>
        <w:autoSpaceDN w:val="0"/>
        <w:autoSpaceDE w:val="0"/>
        <w:widowControl/>
        <w:spacing w:line="220" w:lineRule="exact" w:before="224" w:after="0"/>
        <w:ind w:left="2016" w:right="3312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REVENTION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ERRORISM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(T</w:t>
      </w:r>
      <w:r>
        <w:rPr>
          <w:rFonts w:ascii="Times" w:hAnsi="Times" w:eastAsia="Times"/>
          <w:b w:val="0"/>
          <w:i w:val="0"/>
          <w:color w:val="221F1F"/>
          <w:sz w:val="14"/>
        </w:rPr>
        <w:t>EMPORARY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ROVISIONS</w:t>
      </w:r>
      <w:r>
        <w:rPr>
          <w:rFonts w:ascii="Times" w:hAnsi="Times" w:eastAsia="Times"/>
          <w:b w:val="0"/>
          <w:i w:val="0"/>
          <w:color w:val="221F1F"/>
          <w:sz w:val="20"/>
        </w:rPr>
        <w:t>)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48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1979</w:t>
      </w:r>
    </w:p>
    <w:p>
      <w:pPr>
        <w:autoSpaceDN w:val="0"/>
        <w:autoSpaceDE w:val="0"/>
        <w:widowControl/>
        <w:spacing w:line="224" w:lineRule="exact" w:before="220" w:after="116"/>
        <w:ind w:left="1436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6" w:val="left"/>
                <w:tab w:pos="1330" w:val="left"/>
              </w:tabs>
              <w:autoSpaceDE w:val="0"/>
              <w:widowControl/>
              <w:spacing w:line="210" w:lineRule="exact" w:before="12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This Act may be cited as the Prevention of Terrorism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(Temporary Provisions) (Amendment) Act, No. 12 of 2022.</w:t>
            </w:r>
          </w:p>
          <w:p>
            <w:pPr>
              <w:autoSpaceDN w:val="0"/>
              <w:tabs>
                <w:tab w:pos="976" w:val="left"/>
                <w:tab w:pos="1330" w:val="left"/>
              </w:tabs>
              <w:autoSpaceDE w:val="0"/>
              <w:widowControl/>
              <w:spacing w:line="220" w:lineRule="exact" w:before="23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9 of the Prevention of Terrorism (Temporary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Provisions) Act, No. 48 of 1979 (hereinafter referred to 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“principal enactment”) is hereby amended in the proviso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subsection (1) thereof, by the substitution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“eighteen months.” of the words “twelve months.”.</w:t>
            </w:r>
          </w:p>
          <w:p>
            <w:pPr>
              <w:autoSpaceDN w:val="0"/>
              <w:tabs>
                <w:tab w:pos="1054" w:val="left"/>
                <w:tab w:pos="1414" w:val="left"/>
              </w:tabs>
              <w:autoSpaceDE w:val="0"/>
              <w:widowControl/>
              <w:spacing w:line="216" w:lineRule="exact" w:before="238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following new sections are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9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sections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and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 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  <w:p>
            <w:pPr>
              <w:autoSpaceDN w:val="0"/>
              <w:autoSpaceDE w:val="0"/>
              <w:widowControl/>
              <w:spacing w:line="192" w:lineRule="exact" w:before="484" w:after="0"/>
              <w:ind w:left="13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of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No. 48 of 1979</w:t>
            </w:r>
          </w:p>
          <w:p>
            <w:pPr>
              <w:autoSpaceDN w:val="0"/>
              <w:autoSpaceDE w:val="0"/>
              <w:widowControl/>
              <w:spacing w:line="192" w:lineRule="exact" w:before="726" w:after="0"/>
              <w:ind w:left="16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sections 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30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4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“Certified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copy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detention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Order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served 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Magistrate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8" w:after="0"/>
              <w:ind w:left="58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The officer in charge of the place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detention shall, forthwith and in any case, not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later than forty-eight hours from the time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issuance of an Order under section 9,  make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available a certified copy of such Order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within whose judicial division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place of detention of the person in respect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whom such Order relates is situated, for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Magistrate to visit such place of detention,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terms of section 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6" w:lineRule="exact" w:before="158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(2) The detention of any person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9 shall be communicated to the Human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Rights Commission of Sri Lanka in terms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28 of the Human Rights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Act, No. 21 of 1996, for the persons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authorized by the Human Rights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to visit the place of detention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terms of that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46" w:val="left"/>
          <w:tab w:pos="3860" w:val="left"/>
        </w:tabs>
        <w:autoSpaceDE w:val="0"/>
        <w:widowControl/>
        <w:spacing w:line="238" w:lineRule="exact" w:before="28" w:after="0"/>
        <w:ind w:left="2802" w:right="172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 xml:space="preserve">Prevention of Terrorism (Temporary Provisions) </w:t>
      </w:r>
      <w:r>
        <w:br/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(Amendment) Act, No. 12 of 2022</w:t>
      </w:r>
    </w:p>
    <w:p>
      <w:pPr>
        <w:autoSpaceDN w:val="0"/>
        <w:tabs>
          <w:tab w:pos="3844" w:val="left"/>
          <w:tab w:pos="4084" w:val="left"/>
        </w:tabs>
        <w:autoSpaceDE w:val="0"/>
        <w:widowControl/>
        <w:spacing w:line="388" w:lineRule="exact" w:before="48" w:after="0"/>
        <w:ind w:left="280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Duty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(1) It shall be the duty of every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Magistrate to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visit place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Magistrate who has received a certified copy</w:t>
      </w:r>
    </w:p>
    <w:p>
      <w:pPr>
        <w:autoSpaceDN w:val="0"/>
        <w:tabs>
          <w:tab w:pos="3844" w:val="left"/>
        </w:tabs>
        <w:autoSpaceDE w:val="0"/>
        <w:widowControl/>
        <w:spacing w:line="254" w:lineRule="exact" w:before="0" w:after="0"/>
        <w:ind w:left="2802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detention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 detention Order in terms of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section 9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to visit the place of detention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person to whom the Order relates (in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referred to as the “suspect”) at least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once in every month during the period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detention, to ensure that the suspect is protected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extent provided for in the Convention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Torture and other Cruel, Inhumane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degrading Treatment or Punishment Act, No.22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1994.</w:t>
      </w:r>
    </w:p>
    <w:p>
      <w:pPr>
        <w:autoSpaceDN w:val="0"/>
        <w:autoSpaceDE w:val="0"/>
        <w:widowControl/>
        <w:spacing w:line="252" w:lineRule="exact" w:before="252" w:after="0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For the purpose of subsection (1),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Magistrate who visits any place of detention,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shall–</w:t>
      </w:r>
    </w:p>
    <w:p>
      <w:pPr>
        <w:autoSpaceDN w:val="0"/>
        <w:autoSpaceDE w:val="0"/>
        <w:widowControl/>
        <w:spacing w:line="252" w:lineRule="exact" w:before="252" w:after="0"/>
        <w:ind w:left="4444" w:right="1456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personally see the suspect, and look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 his wellbeing, welfare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conditions under which he is kept 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such place of detention; and</w:t>
      </w:r>
    </w:p>
    <w:p>
      <w:pPr>
        <w:autoSpaceDN w:val="0"/>
        <w:autoSpaceDE w:val="0"/>
        <w:widowControl/>
        <w:spacing w:line="252" w:lineRule="exact" w:before="252" w:after="0"/>
        <w:ind w:left="4032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record his observations and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complaint the suspect may make.</w:t>
      </w:r>
    </w:p>
    <w:p>
      <w:pPr>
        <w:autoSpaceDN w:val="0"/>
        <w:autoSpaceDE w:val="0"/>
        <w:widowControl/>
        <w:spacing w:line="252" w:lineRule="exact" w:before="252" w:after="178"/>
        <w:ind w:left="3844" w:right="145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Where the Magistrate is of the opinion,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the suspect may have been subjected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torture, the Magistrate may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20.0" w:type="dxa"/>
      </w:tblPr>
      <w:tblGrid>
        <w:gridCol w:w="4510"/>
        <w:gridCol w:w="4510"/>
      </w:tblGrid>
      <w:tr>
        <w:trPr>
          <w:trHeight w:hRule="exact" w:val="2070"/>
        </w:trPr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66" w:lineRule="exact" w:before="124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74" w:after="0"/>
              <w:ind w:left="102" w:right="71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 that the suspect be produced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before a Judicial Medical Officer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medical examination, and a report 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submitted to him by such Judicial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Medical Officer; and</w:t>
            </w:r>
          </w:p>
          <w:p>
            <w:pPr>
              <w:autoSpaceDN w:val="0"/>
              <w:autoSpaceDE w:val="0"/>
              <w:widowControl/>
              <w:spacing w:line="252" w:lineRule="exact" w:before="252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make an order to change the place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detention of the suspect.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86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 Act, No. 12 of 2022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6" w:lineRule="exact" w:before="178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the report of such Judicial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Officer reveals that the suspect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subjected to torture, the Magistrate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make an appropriate order, to provide necessary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medical treatment to the suspect.</w:t>
      </w:r>
    </w:p>
    <w:p>
      <w:pPr>
        <w:autoSpaceDN w:val="0"/>
        <w:autoSpaceDE w:val="0"/>
        <w:widowControl/>
        <w:spacing w:line="246" w:lineRule="exact" w:before="246" w:after="164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Magistrate shall also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 General of Police to commence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into the alleged torture in order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enable the Attorney-General to institute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criminal proceedings against the person who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is alleged to have committed the torture.”.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36" w:val="left"/>
              </w:tabs>
              <w:autoSpaceDE w:val="0"/>
              <w:widowControl/>
              <w:spacing w:line="280" w:lineRule="exact" w:before="58" w:after="0"/>
              <w:ind w:left="9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10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40" w:after="0"/>
              <w:ind w:left="15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10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142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87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76" w:after="0"/>
              <w:ind w:left="756" w:right="4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“Order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9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 final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40" w:after="0"/>
              <w:ind w:left="56" w:right="10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10. An Order made under section 9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final and shall not be called in question in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 xml:space="preserve"> any 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>proceedings or in any court of law, save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2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4" w:after="0"/>
              <w:ind w:left="18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 xml:space="preserve">except in proceedings under Article 126,140 </w:t>
            </w:r>
            <w:r>
              <w:rPr>
                <w:rFonts w:ascii="Times" w:hAnsi="Times" w:eastAsia="Times"/>
                <w:b w:val="0"/>
                <w:i w:val="0"/>
                <w:color w:val="2C3D41"/>
                <w:sz w:val="20"/>
              </w:rPr>
              <w:t>or 141 of the Constitution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  <w:p>
            <w:pPr>
              <w:autoSpaceDN w:val="0"/>
              <w:autoSpaceDE w:val="0"/>
              <w:widowControl/>
              <w:spacing w:line="240" w:lineRule="exact" w:before="264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following new section is hereby inserted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10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16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8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Attorney- at-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Law to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access to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remand 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detention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6" w:lineRule="exact" w:before="138" w:after="0"/>
              <w:ind w:left="56" w:right="102" w:firstLine="24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(1) An Attorney- at- Law representing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person remanded or detained under this Act,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have the right of access to such person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to make representations on behalf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person, subject to such conditions as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prescribed by regulations made under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6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as provided for in other written law.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2" w:lineRule="exact" w:before="180" w:after="0"/>
        <w:ind w:left="2516" w:right="278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A person remanded or detained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shall have the right to communicate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with his relatives, as provided for in written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law.”.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</w:tr>
      <w:tr>
        <w:trPr>
          <w:trHeight w:hRule="exact" w:val="1686"/>
        </w:trPr>
        <w:tc>
          <w:tcPr>
            <w:tcW w:type="dxa" w:w="3007"/>
            <w:vMerge/>
            <w:tcBorders/>
          </w:tcPr>
          <w:p/>
        </w:tc>
        <w:tc>
          <w:tcPr>
            <w:tcW w:type="dxa" w:w="56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22" w:val="left"/>
                <w:tab w:pos="486" w:val="left"/>
                <w:tab w:pos="684" w:val="left"/>
                <w:tab w:pos="842" w:val="left"/>
                <w:tab w:pos="1200" w:val="left"/>
              </w:tabs>
              <w:autoSpaceDE w:val="0"/>
              <w:widowControl/>
              <w:spacing w:line="326" w:lineRule="exact" w:before="0" w:after="0"/>
              <w:ind w:left="122" w:right="576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(Amendment) Act, No. 12 of 2022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11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by the insertion immediately after subsection (1)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subsections:-</w:t>
            </w:r>
          </w:p>
        </w:tc>
      </w:tr>
    </w:tbl>
    <w:p>
      <w:pPr>
        <w:autoSpaceDN w:val="0"/>
        <w:autoSpaceDE w:val="0"/>
        <w:widowControl/>
        <w:spacing w:line="224" w:lineRule="exact" w:before="164" w:after="0"/>
        <w:ind w:left="3504" w:right="1456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person to whom an Order made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relates, shall be produced before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Judicial Medical Officer for medical examination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serving such Order to such person and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report be submitted by the Judicial Medical Officer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respect of such person.</w:t>
      </w:r>
    </w:p>
    <w:p>
      <w:pPr>
        <w:autoSpaceDN w:val="0"/>
        <w:autoSpaceDE w:val="0"/>
        <w:widowControl/>
        <w:spacing w:line="224" w:lineRule="exact" w:before="222" w:after="0"/>
        <w:ind w:left="3502" w:right="1456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An Order made under subsection (1) shall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served on the person to whom the Order relates,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Magistrate in whose judicial division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resides and the report of the Judicial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Medical Officer referred to in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shall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produced before the Magistrate to ensure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not been subjected to torture before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serving such Order on such person.</w:t>
      </w:r>
    </w:p>
    <w:p>
      <w:pPr>
        <w:autoSpaceDN w:val="0"/>
        <w:autoSpaceDE w:val="0"/>
        <w:widowControl/>
        <w:spacing w:line="224" w:lineRule="exact" w:before="224" w:after="0"/>
        <w:ind w:left="3504" w:right="1456" w:firstLine="19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</w:t>
      </w:r>
      <w:r>
        <w:rPr>
          <w:rFonts w:ascii="Times" w:hAnsi="Times" w:eastAsia="Times"/>
          <w:b w:val="0"/>
          <w:i w:val="0"/>
          <w:color w:val="221F1F"/>
          <w:sz w:val="14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 the report issued by the Judicial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Medical Officer under subsection 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reveals that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person has been subjected to torture,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Magistrate shall–</w:t>
      </w:r>
    </w:p>
    <w:p>
      <w:pPr>
        <w:autoSpaceDN w:val="0"/>
        <w:tabs>
          <w:tab w:pos="3844" w:val="left"/>
        </w:tabs>
        <w:autoSpaceDE w:val="0"/>
        <w:widowControl/>
        <w:spacing w:line="224" w:lineRule="exact" w:before="224" w:after="0"/>
        <w:ind w:left="3480" w:right="144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make an appropriate order to provide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medical treatment to such person; and</w:t>
      </w:r>
    </w:p>
    <w:p>
      <w:pPr>
        <w:autoSpaceDN w:val="0"/>
        <w:autoSpaceDE w:val="0"/>
        <w:widowControl/>
        <w:spacing w:line="224" w:lineRule="exact" w:before="224" w:after="0"/>
        <w:ind w:left="3844" w:right="1456" w:hanging="36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where, at the time of serving on such person,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order made under subsection (1), an order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detention in respect of such person is also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force, make an order to change the place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detention of such person.</w:t>
      </w:r>
    </w:p>
    <w:p>
      <w:pPr>
        <w:autoSpaceDN w:val="0"/>
        <w:autoSpaceDE w:val="0"/>
        <w:widowControl/>
        <w:spacing w:line="224" w:lineRule="exact" w:before="224" w:after="0"/>
        <w:ind w:left="3502" w:right="1456" w:firstLine="2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 (1</w:t>
      </w:r>
      <w:r>
        <w:rPr>
          <w:rFonts w:ascii="Times" w:hAnsi="Times" w:eastAsia="Times"/>
          <w:b w:val="0"/>
          <w:i w:val="0"/>
          <w:color w:val="221F1F"/>
          <w:sz w:val="14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Magistrate shall also direct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Inspector General of Police to commence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investigation into the alleged torture in order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enable the Attorney-General to institute criminal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proceedings against the person who is alleged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have committed the torture.”.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2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86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 Act, No. 12 of 2022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68" w:lineRule="exact" w:before="180" w:after="0"/>
        <w:ind w:left="2176" w:right="2764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the proviso to subsection (3) thereof, by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substitution for the words “eighteen months.”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words “twelve months.”;</w:t>
      </w:r>
    </w:p>
    <w:p>
      <w:pPr>
        <w:autoSpaceDN w:val="0"/>
        <w:autoSpaceDE w:val="0"/>
        <w:widowControl/>
        <w:spacing w:line="266" w:lineRule="exact" w:before="264" w:after="0"/>
        <w:ind w:left="2176" w:right="2736" w:hanging="356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by the repeal of subsection (5) thereof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subsection:-</w:t>
      </w:r>
    </w:p>
    <w:p>
      <w:pPr>
        <w:autoSpaceDN w:val="0"/>
        <w:autoSpaceDE w:val="0"/>
        <w:widowControl/>
        <w:spacing w:line="266" w:lineRule="exact" w:before="266" w:after="206"/>
        <w:ind w:left="2176" w:right="2762" w:firstLine="20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“(5) An Order made by the Minister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shall be final and shall not be called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question in any proceedings or in any court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law, save and except in proceedings under Article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126, 140 or 141 of the Constitution.”.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14 of the principal enactment is hereby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14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288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15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62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 by the addition immediately after subsection (2)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96" w:after="204"/>
        <w:ind w:left="1696" w:right="2764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Every trial under this Act shall be held on a day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basis, unless in the opinion of the court exceptional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circumstances warrant postponement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commencement or continuation of trial, for reasons which </w:t>
      </w:r>
      <w:r>
        <w:rPr>
          <w:rFonts w:ascii="Times" w:hAnsi="Times" w:eastAsia="Times"/>
          <w:b w:val="0"/>
          <w:i w:val="0"/>
          <w:color w:val="221F1F"/>
          <w:sz w:val="20"/>
        </w:rPr>
        <w:t>shall be recorded by court.”.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4" w:after="0"/>
              <w:ind w:left="0" w:right="1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</w:t>
            </w:r>
          </w:p>
        </w:tc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04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56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new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9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73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subsection (1) thereof, by the substitution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and figures “section 19(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)”, of the word and figure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“section 19”.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42" w:after="0"/>
              <w:ind w:left="0" w:right="4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shall have effect as section 15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 enactment:-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46" w:val="left"/>
        </w:tabs>
        <w:autoSpaceDE w:val="0"/>
        <w:widowControl/>
        <w:spacing w:line="266" w:lineRule="exact" w:before="0" w:after="0"/>
        <w:ind w:left="28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Prevention of Terrorism (Temporary Provisions)</w:t>
      </w:r>
    </w:p>
    <w:p>
      <w:pPr>
        <w:autoSpaceDN w:val="0"/>
        <w:autoSpaceDE w:val="0"/>
        <w:widowControl/>
        <w:spacing w:line="244" w:lineRule="exact" w:before="0" w:after="0"/>
        <w:ind w:left="0" w:right="247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(Amendment) Act, No. 12 of 2022</w:t>
      </w:r>
    </w:p>
    <w:p>
      <w:pPr>
        <w:autoSpaceDN w:val="0"/>
        <w:tabs>
          <w:tab w:pos="3882" w:val="left"/>
          <w:tab w:pos="4102" w:val="left"/>
        </w:tabs>
        <w:autoSpaceDE w:val="0"/>
        <w:widowControl/>
        <w:spacing w:line="298" w:lineRule="exact" w:before="120" w:after="0"/>
        <w:ind w:left="28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“Grant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rPr>
          <w:rFonts w:ascii="Times" w:hAnsi="Times" w:eastAsia="Times"/>
          <w:b w:val="0"/>
          <w:i w:val="0"/>
          <w:color w:val="221F1F"/>
          <w:sz w:val="14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Notwithstanding anything to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bail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contrary in the provisions of this Act, if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persons in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remand or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trial against a person remanded or detained</w:t>
      </w:r>
    </w:p>
    <w:p>
      <w:pPr>
        <w:autoSpaceDN w:val="0"/>
        <w:tabs>
          <w:tab w:pos="3882" w:val="left"/>
        </w:tabs>
        <w:autoSpaceDE w:val="0"/>
        <w:widowControl/>
        <w:spacing w:line="234" w:lineRule="exact" w:before="0" w:after="0"/>
        <w:ind w:left="281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detention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this Act has not commenced after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expiration of twelve months, from the date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arrest, the Court of Appeal may release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on bail, upon an application in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behalf, made by the suspect or an Attorney- at-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Law on his behalf:</w:t>
      </w:r>
    </w:p>
    <w:p>
      <w:pPr>
        <w:autoSpaceDN w:val="0"/>
        <w:autoSpaceDE w:val="0"/>
        <w:widowControl/>
        <w:spacing w:line="228" w:lineRule="exact" w:before="228" w:after="0"/>
        <w:ind w:left="3882" w:right="1418" w:firstLine="2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notwithstanding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provisions of subection (2) of section 15,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may in exceptional circumstances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release the suspect on bail subject to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conditions as the High Court may deem fit:</w:t>
      </w:r>
    </w:p>
    <w:p>
      <w:pPr>
        <w:autoSpaceDN w:val="0"/>
        <w:autoSpaceDE w:val="0"/>
        <w:widowControl/>
        <w:spacing w:line="228" w:lineRule="exact" w:before="228" w:after="122"/>
        <w:ind w:left="3882" w:right="1418" w:firstLine="2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further, where the trial against an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accused in respect of whom the indictment has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forwarded and filed in the High Court,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not commenced after the expiration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twelve months from the date of such filing,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High Court may consider to release such person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 bail, upon an application in that behalf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accused or an Attorney- at-Law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on his behalf.”.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638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80" w:after="0"/>
              <w:ind w:left="6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5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2" w:val="left"/>
              </w:tabs>
              <w:autoSpaceDE w:val="0"/>
              <w:widowControl/>
              <w:spacing w:line="278" w:lineRule="exact" w:before="66" w:after="0"/>
              <w:ind w:left="4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11.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 of the principal enactment is hereby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</w:tr>
      <w:tr>
        <w:trPr>
          <w:trHeight w:hRule="exact" w:val="1856"/>
        </w:trPr>
        <w:tc>
          <w:tcPr>
            <w:tcW w:type="dxa" w:w="2255"/>
            <w:vMerge/>
            <w:tcBorders/>
          </w:tcPr>
          <w:p/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“Provisions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any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written law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relating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grant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bail not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persons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accused of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52" w:after="0"/>
              <w:ind w:left="262" w:right="698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19. Notwithstanding the provisions of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other written law, every person convicted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court of any offence under this Act shall,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notwithstanding that he has lodged a petition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appeal against his conviction or the sentence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on him, be kept on remand until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determination of the appeal:</w:t>
            </w:r>
          </w:p>
        </w:tc>
      </w:tr>
      <w:tr>
        <w:trPr>
          <w:trHeight w:hRule="exact" w:val="1012"/>
        </w:trPr>
        <w:tc>
          <w:tcPr>
            <w:tcW w:type="dxa" w:w="2255"/>
            <w:vMerge/>
            <w:tcBorders/>
          </w:tcPr>
          <w:p/>
        </w:tc>
        <w:tc>
          <w:tcPr>
            <w:tcW w:type="dxa" w:w="11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any offence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this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</w:t>
            </w:r>
          </w:p>
        </w:tc>
        <w:tc>
          <w:tcPr>
            <w:tcW w:type="dxa" w:w="45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0" w:after="0"/>
              <w:ind w:left="120" w:right="698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that the Court of Appeal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in exceptional circumstances release 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bail any such person subject to such conditions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Court of Appeal may deem fit .”.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48"/>
        </w:trPr>
        <w:tc>
          <w:tcPr>
            <w:tcW w:type="dxa" w:w="5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4" w:after="0"/>
              <w:ind w:left="11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Prevention of Terrorism (Temporary Provisions)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8" w:after="0"/>
              <w:ind w:left="14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Replacement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section 26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1040"/>
        </w:trPr>
        <w:tc>
          <w:tcPr>
            <w:tcW w:type="dxa" w:w="56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6" w:val="left"/>
                <w:tab w:pos="1774" w:val="left"/>
              </w:tabs>
              <w:autoSpaceDE w:val="0"/>
              <w:widowControl/>
              <w:spacing w:line="318" w:lineRule="exact" w:before="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(Amendment) Act, No. 12 of 2022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26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1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32" w:after="0"/>
              <w:ind w:left="7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“Protection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officers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&amp;c.</w:t>
            </w:r>
          </w:p>
        </w:tc>
        <w:tc>
          <w:tcPr>
            <w:tcW w:type="dxa" w:w="3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38" w:right="122" w:firstLine="22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26. (1) An Order made or direction given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this Act may be questioned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proceedings under Article 126, 140 or 141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Constitution.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0" w:lineRule="exact" w:before="166" w:after="154"/>
        <w:ind w:left="2518" w:right="2782" w:firstLine="22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Subject to the provisions of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no suit, prosecution or other proceeding,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civil or criminal, shall lie against any officer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for any act or thing done in good faith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pursuance of any Order made or direction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given under this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34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36" w:val="left"/>
              </w:tabs>
              <w:autoSpaceDE w:val="0"/>
              <w:widowControl/>
              <w:spacing w:line="228" w:lineRule="exact" w:before="110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13.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31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  <w:p>
            <w:pPr>
              <w:autoSpaceDN w:val="0"/>
              <w:tabs>
                <w:tab w:pos="1458" w:val="left"/>
              </w:tabs>
              <w:autoSpaceDE w:val="0"/>
              <w:widowControl/>
              <w:spacing w:line="240" w:lineRule="exact" w:before="240" w:after="0"/>
              <w:ind w:left="1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the definition of the expression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“newspaper”;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6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31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</w:tbl>
    <w:p>
      <w:pPr>
        <w:autoSpaceDN w:val="0"/>
        <w:tabs>
          <w:tab w:pos="2158" w:val="left"/>
        </w:tabs>
        <w:autoSpaceDE w:val="0"/>
        <w:widowControl/>
        <w:spacing w:line="240" w:lineRule="exact" w:before="180" w:after="0"/>
        <w:ind w:left="1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by the repeal of the definition of the expression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“printing press”; and</w:t>
      </w:r>
    </w:p>
    <w:p>
      <w:pPr>
        <w:autoSpaceDN w:val="0"/>
        <w:tabs>
          <w:tab w:pos="2158" w:val="left"/>
        </w:tabs>
        <w:autoSpaceDE w:val="0"/>
        <w:widowControl/>
        <w:spacing w:line="240" w:lineRule="exact" w:before="240" w:after="0"/>
        <w:ind w:left="1802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by the insertion immediately after the definition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“specified person” of the following definition:-</w:t>
      </w:r>
    </w:p>
    <w:p>
      <w:pPr>
        <w:autoSpaceDN w:val="0"/>
        <w:autoSpaceDE w:val="0"/>
        <w:widowControl/>
        <w:spacing w:line="240" w:lineRule="exact" w:before="240" w:after="154"/>
        <w:ind w:left="2638" w:right="2782" w:hanging="48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“torture” shall have the same meaning assigned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such expression under the Convention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Against Torture and other Cruel, Inhumane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degrading Treatment or Punishment Act,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No.22 of 1994;”.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86"/>
        </w:trPr>
        <w:tc>
          <w:tcPr>
            <w:tcW w:type="dxa" w:w="5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  <w:tab w:pos="1446" w:val="left"/>
              </w:tabs>
              <w:autoSpaceDE w:val="0"/>
              <w:widowControl/>
              <w:spacing w:line="234" w:lineRule="exact" w:before="104" w:after="0"/>
              <w:ind w:left="73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14.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event of any inconsistency between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24" w:after="0"/>
              <w:ind w:left="136" w:right="67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44" w:right="86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Prevention of Terrorism (Temporary Provisions)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(Amendment) Act, No. 12 of 2022</w:t>
            </w:r>
          </w:p>
        </w:tc>
      </w:tr>
    </w:tbl>
    <w:p>
      <w:pPr>
        <w:autoSpaceDN w:val="0"/>
        <w:autoSpaceDE w:val="0"/>
        <w:widowControl/>
        <w:spacing w:line="214" w:lineRule="exact" w:before="872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