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3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88" w:lineRule="exact" w:before="574" w:after="0"/>
        <w:ind w:left="2448" w:right="2160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VALUE ADDED TAX (AMENDMENT)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ACT, No. 13 OF 2022</w:t>
      </w:r>
    </w:p>
    <w:p>
      <w:pPr>
        <w:autoSpaceDN w:val="0"/>
        <w:autoSpaceDE w:val="0"/>
        <w:widowControl/>
        <w:spacing w:line="276" w:lineRule="exact" w:before="912" w:after="0"/>
        <w:ind w:left="0" w:right="304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31st of March, 2022]</w:t>
      </w:r>
    </w:p>
    <w:p>
      <w:pPr>
        <w:autoSpaceDN w:val="0"/>
        <w:autoSpaceDE w:val="0"/>
        <w:widowControl/>
        <w:spacing w:line="244" w:lineRule="exact" w:before="42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0" w:lineRule="exact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April 01, 2022</w:t>
      </w:r>
    </w:p>
    <w:p>
      <w:pPr>
        <w:autoSpaceDN w:val="0"/>
        <w:autoSpaceDE w:val="0"/>
        <w:widowControl/>
        <w:spacing w:line="214" w:lineRule="exact" w:before="442" w:after="0"/>
        <w:ind w:left="0" w:right="261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76" w:lineRule="exact" w:before="25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0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296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Value Added Tax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13 of 2022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62" w:after="0"/>
        <w:ind w:left="0" w:right="3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31st of March, 2022]</w:t>
      </w:r>
    </w:p>
    <w:p>
      <w:pPr>
        <w:autoSpaceDN w:val="0"/>
        <w:autoSpaceDE w:val="0"/>
        <w:widowControl/>
        <w:spacing w:line="268" w:lineRule="exact" w:before="22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51/2021</w:t>
      </w:r>
    </w:p>
    <w:p>
      <w:pPr>
        <w:autoSpaceDN w:val="0"/>
        <w:autoSpaceDE w:val="0"/>
        <w:widowControl/>
        <w:spacing w:line="268" w:lineRule="exact" w:before="224" w:after="0"/>
        <w:ind w:left="15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ALUE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DDED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44" w:lineRule="exact" w:before="248" w:after="166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64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336" w:val="left"/>
              </w:tabs>
              <w:autoSpaceDE w:val="0"/>
              <w:widowControl/>
              <w:spacing w:line="238" w:lineRule="exact" w:before="98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may be cited as the Value Added Tax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13 of  2022.</w:t>
            </w:r>
          </w:p>
          <w:p>
            <w:pPr>
              <w:autoSpaceDN w:val="0"/>
              <w:tabs>
                <w:tab w:pos="976" w:val="left"/>
                <w:tab w:pos="1330" w:val="left"/>
              </w:tabs>
              <w:autoSpaceDE w:val="0"/>
              <w:widowControl/>
              <w:spacing w:line="240" w:lineRule="exact" w:before="262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Value Added Tax Act, No. 14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2002 (hereinafter referred to as the “principal enactment”)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subsection (3) thereof as follows:-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  <w:p>
            <w:pPr>
              <w:autoSpaceDN w:val="0"/>
              <w:autoSpaceDE w:val="0"/>
              <w:widowControl/>
              <w:spacing w:line="192" w:lineRule="exact" w:before="498" w:after="0"/>
              <w:ind w:left="14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 14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2002</w:t>
            </w:r>
          </w:p>
        </w:tc>
      </w:tr>
    </w:tbl>
    <w:p>
      <w:pPr>
        <w:autoSpaceDN w:val="0"/>
        <w:autoSpaceDE w:val="0"/>
        <w:widowControl/>
        <w:spacing w:line="246" w:lineRule="exact" w:before="160" w:after="0"/>
        <w:ind w:left="215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(1) by the substitution in paragraph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subsection, for the words and figures, “commencing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November 1, 2016, shall be fifteen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per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.” of the words and figures “commencing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November 1, 2016 but ending on or before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31, 2021, shall be fifteen </w:t>
      </w:r>
      <w:r>
        <w:rPr>
          <w:rFonts w:ascii="Times" w:hAnsi="Times" w:eastAsia="Times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>;”;</w:t>
      </w:r>
    </w:p>
    <w:p>
      <w:pPr>
        <w:autoSpaceDN w:val="0"/>
        <w:tabs>
          <w:tab w:pos="2158" w:val="left"/>
        </w:tabs>
        <w:autoSpaceDE w:val="0"/>
        <w:widowControl/>
        <w:spacing w:line="248" w:lineRule="exact" w:before="244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by the addition immediately after paragraph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subsection of the following:-</w:t>
      </w:r>
    </w:p>
    <w:p>
      <w:pPr>
        <w:autoSpaceDN w:val="0"/>
        <w:tabs>
          <w:tab w:pos="2638" w:val="left"/>
        </w:tabs>
        <w:autoSpaceDE w:val="0"/>
        <w:widowControl/>
        <w:spacing w:line="244" w:lineRule="exact" w:before="248" w:after="166"/>
        <w:ind w:left="219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commencing on or after January 1, 2022,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eighteen </w:t>
      </w:r>
      <w:r>
        <w:rPr>
          <w:rFonts w:ascii="Times" w:hAnsi="Times" w:eastAsia="Times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>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27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334" w:val="left"/>
              </w:tabs>
              <w:autoSpaceDE w:val="0"/>
              <w:widowControl/>
              <w:spacing w:line="240" w:lineRule="exact" w:before="96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First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PART II thereof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follows:-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1458" w:right="124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by  the  substitution  in  item  (xxxi)  of 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paragraph, for the words and figures, “with effect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May 20, 2020.” of the words and figures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“with effect  from  May 20, 2020,  and  ending 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December 31, 2021;”;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14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0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13 of 2022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item (xxxi) of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the following new item:–</w:t>
      </w:r>
    </w:p>
    <w:p>
      <w:pPr>
        <w:autoSpaceDN w:val="0"/>
        <w:autoSpaceDE w:val="0"/>
        <w:widowControl/>
        <w:spacing w:line="292" w:lineRule="exact" w:before="292" w:after="238"/>
        <w:ind w:left="4684" w:right="145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“(xxxii) on or after January 1, 2022, medical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equipment, machinery, apparatus,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accessories and parts thereof,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hospital furniture, drugs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chemicals donated to a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hospital or the Ministry of Health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provision of health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address any pandemic or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health emergency, approved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on the recommendation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Health.”.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Validation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is authorized to collect the Value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276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Added Tax as provided for in this Act during the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on or after January 1, 2022, and ending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on which the Certificate of the Speaker is endorsed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this Act,  shall be deemed to have acted with due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and such collection shall be deemed to have been,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be, validly made and such person is hereby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indemnified against all actions, civil or criminal,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>of such collection:</w:t>
      </w:r>
    </w:p>
    <w:p>
      <w:pPr>
        <w:autoSpaceDN w:val="0"/>
        <w:autoSpaceDE w:val="0"/>
        <w:widowControl/>
        <w:spacing w:line="292" w:lineRule="exact" w:before="292" w:after="0"/>
        <w:ind w:left="2764" w:right="1456" w:firstLine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aforesaid provisions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 any decision or order made by any Court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pending in any Court in respect of any tax </w:t>
      </w:r>
      <w:r>
        <w:rPr>
          <w:rFonts w:ascii="Times" w:hAnsi="Times" w:eastAsia="Times"/>
          <w:b w:val="0"/>
          <w:i w:val="0"/>
          <w:color w:val="221F1F"/>
          <w:sz w:val="20"/>
        </w:rPr>
        <w:t>collected as provided for in this Act during the said period.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5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0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as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defaulter</w:t>
            </w:r>
          </w:p>
          <w:p>
            <w:pPr>
              <w:autoSpaceDN w:val="0"/>
              <w:autoSpaceDE w:val="0"/>
              <w:widowControl/>
              <w:spacing w:line="192" w:lineRule="exact" w:before="2074" w:after="0"/>
              <w:ind w:left="14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3910"/>
        </w:trPr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17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13 of 2022</w:t>
            </w:r>
          </w:p>
          <w:p>
            <w:pPr>
              <w:autoSpaceDN w:val="0"/>
              <w:tabs>
                <w:tab w:pos="978" w:val="left"/>
                <w:tab w:pos="1330" w:val="left"/>
              </w:tabs>
              <w:autoSpaceDE w:val="0"/>
              <w:widowControl/>
              <w:spacing w:line="238" w:lineRule="exact" w:before="256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avoidance of doubt it is stated that, where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institution or other person has not paid the tax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accordance with the provisions of subsection (2) of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 of this Act, for any period commencing on January 1, 2022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ending on the date of the commencement of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pays the amount of tax payable by such intitution or person,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or before the twentieth day of the succeeding month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date of the commencement of this Act, such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or person shall not be deemed to be a defaulter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 of the provisions of the principal enactment.</w:t>
            </w:r>
          </w:p>
          <w:p>
            <w:pPr>
              <w:autoSpaceDN w:val="0"/>
              <w:tabs>
                <w:tab w:pos="978" w:val="left"/>
                <w:tab w:pos="1328" w:val="left"/>
              </w:tabs>
              <w:autoSpaceDE w:val="0"/>
              <w:widowControl/>
              <w:spacing w:line="228" w:lineRule="exact" w:before="264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6.0000000000002" w:type="dxa"/>
      </w:tblPr>
      <w:tblGrid>
        <w:gridCol w:w="4510"/>
        <w:gridCol w:w="4510"/>
      </w:tblGrid>
      <w:tr>
        <w:trPr>
          <w:trHeight w:hRule="exact" w:val="9000"/>
        </w:trPr>
        <w:tc>
          <w:tcPr>
            <w:tcW w:type="dxa" w:w="20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17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432" w:right="100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Value Added Tax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13 of 2022</w:t>
            </w:r>
          </w:p>
        </w:tc>
      </w:tr>
    </w:tbl>
    <w:p>
      <w:pPr>
        <w:autoSpaceDN w:val="0"/>
        <w:autoSpaceDE w:val="0"/>
        <w:widowControl/>
        <w:spacing w:line="192" w:lineRule="exact" w:before="36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