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50" w:lineRule="auto" w:before="876" w:after="0"/>
        <w:ind w:left="2016" w:right="1872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CIVIL PROCEDURE CODE (AMENDMENT) </w:t>
      </w:r>
      <w:r>
        <w:rPr>
          <w:rFonts w:ascii="Times" w:hAnsi="Times" w:eastAsia="Times"/>
          <w:b/>
          <w:i w:val="0"/>
          <w:color w:val="221F1F"/>
          <w:sz w:val="24"/>
        </w:rPr>
        <w:t>ACT, No. 17 OF 2022</w:t>
      </w:r>
    </w:p>
    <w:p>
      <w:pPr>
        <w:autoSpaceDN w:val="0"/>
        <w:autoSpaceDE w:val="0"/>
        <w:widowControl/>
        <w:spacing w:line="238" w:lineRule="auto" w:before="832" w:after="0"/>
        <w:ind w:left="0" w:right="309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23rd of June, 2022]</w:t>
      </w:r>
    </w:p>
    <w:p>
      <w:pPr>
        <w:autoSpaceDN w:val="0"/>
        <w:autoSpaceDE w:val="0"/>
        <w:widowControl/>
        <w:spacing w:line="235" w:lineRule="auto" w:before="2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June 24,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Civil Procedure Code (Amendment)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9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17 of 2022</w:t>
      </w:r>
    </w:p>
    <w:p>
      <w:pPr>
        <w:autoSpaceDN w:val="0"/>
        <w:autoSpaceDE w:val="0"/>
        <w:widowControl/>
        <w:spacing w:line="238" w:lineRule="auto" w:before="282" w:after="0"/>
        <w:ind w:left="0" w:right="38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23rd of June, 2022]</w:t>
      </w:r>
    </w:p>
    <w:p>
      <w:pPr>
        <w:autoSpaceDN w:val="0"/>
        <w:autoSpaceDE w:val="0"/>
        <w:widowControl/>
        <w:spacing w:line="238" w:lineRule="auto" w:before="29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58/2021</w:t>
      </w:r>
    </w:p>
    <w:p>
      <w:pPr>
        <w:autoSpaceDN w:val="0"/>
        <w:autoSpaceDE w:val="0"/>
        <w:widowControl/>
        <w:spacing w:line="235" w:lineRule="auto" w:before="292" w:after="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IVIL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ROCEDURE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101)</w:t>
      </w:r>
    </w:p>
    <w:p>
      <w:pPr>
        <w:autoSpaceDN w:val="0"/>
        <w:autoSpaceDE w:val="0"/>
        <w:widowControl/>
        <w:spacing w:line="254" w:lineRule="auto" w:before="294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1676" w:val="left"/>
          <w:tab w:pos="6478" w:val="left"/>
        </w:tabs>
        <w:autoSpaceDE w:val="0"/>
        <w:widowControl/>
        <w:spacing w:line="254" w:lineRule="auto" w:before="294" w:after="234"/>
        <w:ind w:left="1436" w:right="1728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Civil Procedure Code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 17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154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101</w:t>
            </w:r>
          </w:p>
        </w:tc>
      </w:tr>
      <w:tr>
        <w:trPr>
          <w:trHeight w:hRule="exact" w:val="53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154 of the Civil Procedure Code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101) and shall have effect as section 154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Code:–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34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“Proof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deed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document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unnecessary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events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16" w:right="1382" w:firstLine="24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Notwithstanding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Evidence Ordinance (Chapter 14),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proceedings under this Code, it shall not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necessary to adduce formal proof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execution or genuineness of any deed, or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251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which is required by law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attested, other than a will executed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Wills Ordinance (Chapter 60), and on the face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 it purports to have been duly executed,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unless–</w:t>
      </w:r>
    </w:p>
    <w:p>
      <w:pPr>
        <w:autoSpaceDN w:val="0"/>
        <w:tabs>
          <w:tab w:pos="3416" w:val="left"/>
        </w:tabs>
        <w:autoSpaceDE w:val="0"/>
        <w:widowControl/>
        <w:spacing w:line="266" w:lineRule="auto" w:before="294" w:after="0"/>
        <w:ind w:left="29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pleadings or further pleadings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 action filed under regular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in terms of this Code,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execution or genuineness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deed or document is impeached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raised  as an issue; or</w:t>
      </w:r>
    </w:p>
    <w:p>
      <w:pPr>
        <w:autoSpaceDN w:val="0"/>
        <w:tabs>
          <w:tab w:pos="3416" w:val="left"/>
        </w:tabs>
        <w:autoSpaceDE w:val="0"/>
        <w:widowControl/>
        <w:spacing w:line="238" w:lineRule="auto" w:before="290" w:after="0"/>
        <w:ind w:left="29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court requires such proof: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36" w:val="left"/>
          <w:tab w:pos="4396" w:val="left"/>
        </w:tabs>
        <w:autoSpaceDE w:val="0"/>
        <w:widowControl/>
        <w:spacing w:line="245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17 of 2022</w:t>
      </w:r>
    </w:p>
    <w:p>
      <w:pPr>
        <w:autoSpaceDN w:val="0"/>
        <w:autoSpaceDE w:val="0"/>
        <w:widowControl/>
        <w:spacing w:line="247" w:lineRule="auto" w:before="250" w:after="0"/>
        <w:ind w:left="4882" w:right="143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section shall not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in an event, a party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action seeks to produce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deed or document not included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pleadings of that party at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proceedings under this Code.</w:t>
      </w:r>
    </w:p>
    <w:p>
      <w:pPr>
        <w:autoSpaceDN w:val="0"/>
        <w:autoSpaceDE w:val="0"/>
        <w:widowControl/>
        <w:spacing w:line="245" w:lineRule="auto" w:before="250" w:after="188"/>
        <w:ind w:left="4222" w:right="1436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subsection (1),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in the actions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 summary procedure under this Code.”.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Transitional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 contained in section 2 of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and the provisions of the Evidence Ordinance, in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88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case or appeal pending on the date of coming into </w:t>
      </w:r>
      <w:r>
        <w:rPr>
          <w:rFonts w:ascii="Times" w:hAnsi="Times" w:eastAsia="Times"/>
          <w:b w:val="0"/>
          <w:i w:val="0"/>
          <w:color w:val="221F1F"/>
          <w:sz w:val="20"/>
        </w:rPr>
        <w:t>operation of this Act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the opposing party does not object or has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92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 objected to it being received as evidence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deed or document being tendered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evidence; or</w:t>
      </w:r>
    </w:p>
    <w:p>
      <w:pPr>
        <w:autoSpaceDN w:val="0"/>
        <w:tabs>
          <w:tab w:pos="3922" w:val="left"/>
          <w:tab w:pos="3924" w:val="left"/>
        </w:tabs>
        <w:autoSpaceDE w:val="0"/>
        <w:widowControl/>
        <w:spacing w:line="247" w:lineRule="auto" w:before="248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the opposing party has objected to it being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as evidence on the deed or document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tendered in evidence but not objected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close of a case when such document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read in evidence,</w:t>
      </w:r>
    </w:p>
    <w:p>
      <w:pPr>
        <w:autoSpaceDN w:val="0"/>
        <w:autoSpaceDE w:val="0"/>
        <w:widowControl/>
        <w:spacing w:line="245" w:lineRule="auto" w:before="248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shall admit such deed or document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evidence without requiring further proof;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4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the opposing party objects or has objected to 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received as evidence, the court may decide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it is necessary or it was necessary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may be, to adduce formal proof of the execution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genuineness of any such deed or document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considering the merits of the objections taken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the execution or genuineness of such deed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document.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54" w:val="left"/>
        </w:tabs>
        <w:autoSpaceDE w:val="0"/>
        <w:widowControl/>
        <w:spacing w:line="235" w:lineRule="auto" w:before="0" w:after="0"/>
        <w:ind w:left="23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Civil Procedure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5" w:lineRule="auto" w:before="14" w:after="200"/>
        <w:ind w:left="0" w:right="439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17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  <w:tr>
        <w:trPr>
          <w:trHeight w:hRule="exact" w:val="34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Civil Procedure Code (Amendment)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05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17 of 2022</w:t>
      </w:r>
    </w:p>
    <w:p>
      <w:pPr>
        <w:autoSpaceDN w:val="0"/>
        <w:autoSpaceDE w:val="0"/>
        <w:widowControl/>
        <w:spacing w:line="245" w:lineRule="auto" w:before="8682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