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tabs>
          <w:tab w:pos="3630" w:val="left"/>
        </w:tabs>
        <w:autoSpaceDE w:val="0"/>
        <w:widowControl/>
        <w:spacing w:line="245" w:lineRule="auto" w:before="848" w:after="0"/>
        <w:ind w:left="3178" w:right="3024" w:firstLine="0"/>
        <w:jc w:val="left"/>
      </w:pPr>
      <w:r>
        <w:rPr>
          <w:rFonts w:ascii="Times" w:hAnsi="Times" w:eastAsia="Times"/>
          <w:b/>
          <w:i w:val="0"/>
          <w:color w:val="221F1F"/>
          <w:sz w:val="26"/>
        </w:rPr>
        <w:t xml:space="preserve">WILLS  (AMENDMENT)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24"/>
        </w:rPr>
        <w:t>ACT, No. 29 OF 2022</w:t>
      </w:r>
    </w:p>
    <w:p>
      <w:pPr>
        <w:autoSpaceDN w:val="0"/>
        <w:autoSpaceDE w:val="0"/>
        <w:widowControl/>
        <w:spacing w:line="238" w:lineRule="auto" w:before="858" w:after="0"/>
        <w:ind w:left="0" w:right="2962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25th of October, 2022]</w:t>
      </w:r>
    </w:p>
    <w:p>
      <w:pPr>
        <w:autoSpaceDN w:val="0"/>
        <w:autoSpaceDE w:val="0"/>
        <w:widowControl/>
        <w:spacing w:line="235" w:lineRule="auto" w:before="2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October 28,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314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Wills (Amendment) Act, No. 29 of 2022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3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2" w:after="0"/>
        <w:ind w:left="0" w:right="37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25th of October, 2022]</w:t>
      </w:r>
    </w:p>
    <w:p>
      <w:pPr>
        <w:autoSpaceDN w:val="0"/>
        <w:autoSpaceDE w:val="0"/>
        <w:widowControl/>
        <w:spacing w:line="238" w:lineRule="auto" w:before="28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D.–O. 49/2021</w:t>
      </w:r>
    </w:p>
    <w:p>
      <w:pPr>
        <w:autoSpaceDN w:val="0"/>
        <w:autoSpaceDE w:val="0"/>
        <w:widowControl/>
        <w:spacing w:line="235" w:lineRule="auto" w:before="260" w:after="0"/>
        <w:ind w:left="18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60)</w:t>
      </w:r>
    </w:p>
    <w:p>
      <w:pPr>
        <w:autoSpaceDN w:val="0"/>
        <w:autoSpaceDE w:val="0"/>
        <w:widowControl/>
        <w:spacing w:line="247" w:lineRule="auto" w:before="260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1696" w:val="left"/>
          <w:tab w:pos="6496" w:val="left"/>
        </w:tabs>
        <w:autoSpaceDE w:val="0"/>
        <w:widowControl/>
        <w:spacing w:line="247" w:lineRule="auto" w:before="260" w:after="200"/>
        <w:ind w:left="1456" w:right="1728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Wills (Amendment)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No. 29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96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 of the Wills Ordinance (Chapter 60)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therefor:–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“Disposition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60</w:t>
            </w:r>
          </w:p>
        </w:tc>
      </w:tr>
      <w:tr>
        <w:trPr>
          <w:trHeight w:hRule="exact" w:val="558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a will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56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2. (1) It shall be lawful for any person who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reached the age of eighteen years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6" w:after="0"/>
        <w:ind w:left="253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residing within or outside Sri Lanka to execute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will bequeathing and disposing any movable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immovable property and all and every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estate, right, share or interest in any property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belong to him at the time of death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which, if not so devised, bequeathed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disposed would devolve upon his heirs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not legally incapacitated from taking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same as he shall seem fit.</w:t>
      </w:r>
    </w:p>
    <w:p>
      <w:pPr>
        <w:autoSpaceDN w:val="0"/>
        <w:autoSpaceDE w:val="0"/>
        <w:widowControl/>
        <w:spacing w:line="252" w:lineRule="auto" w:before="260" w:after="0"/>
        <w:ind w:left="253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testator shall have full power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such testamentary disposition as he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feel disposed, and in the exercise of such right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exclude any child, parent, relative,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descendant, or to disinherit or omit to mention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such person, without assigning any reason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exclusion, disinheritance, or omission,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law, usage, or custom now or herefore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force in Sri Lanka to the contrary</w:t>
      </w:r>
    </w:p>
    <w:p>
      <w:pPr>
        <w:autoSpaceDN w:val="0"/>
        <w:autoSpaceDE w:val="0"/>
        <w:widowControl/>
        <w:spacing w:line="238" w:lineRule="auto" w:before="44" w:after="0"/>
        <w:ind w:left="0" w:right="49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notwithstanding.”.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3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5" w:lineRule="auto" w:before="18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4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13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7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3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Wills (Amendment) Act, No. 29 of 2022</w:t>
            </w:r>
          </w:p>
        </w:tc>
      </w:tr>
      <w:tr>
        <w:trPr>
          <w:trHeight w:hRule="exact" w:val="2564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4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 of the principal enactment is hereby repealed.</w:t>
            </w:r>
          </w:p>
          <w:p>
            <w:pPr>
              <w:autoSpaceDN w:val="0"/>
              <w:autoSpaceDE w:val="0"/>
              <w:widowControl/>
              <w:spacing w:line="238" w:lineRule="auto" w:before="624" w:after="0"/>
              <w:ind w:left="4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 of the principal enactment is hereby repealed.</w:t>
            </w:r>
          </w:p>
          <w:p>
            <w:pPr>
              <w:autoSpaceDN w:val="0"/>
              <w:autoSpaceDE w:val="0"/>
              <w:widowControl/>
              <w:spacing w:line="238" w:lineRule="auto" w:before="624" w:after="0"/>
              <w:ind w:left="4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7 of the principal enactment is hereby amended</w:t>
            </w:r>
          </w:p>
          <w:p>
            <w:pPr>
              <w:autoSpaceDN w:val="0"/>
              <w:autoSpaceDE w:val="0"/>
              <w:widowControl/>
              <w:spacing w:line="235" w:lineRule="auto" w:before="5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follows:–</w:t>
            </w:r>
          </w:p>
        </w:tc>
      </w:tr>
    </w:tbl>
    <w:p>
      <w:pPr>
        <w:autoSpaceDN w:val="0"/>
        <w:tabs>
          <w:tab w:pos="3068" w:val="left"/>
          <w:tab w:pos="3484" w:val="left"/>
        </w:tabs>
        <w:autoSpaceDE w:val="0"/>
        <w:widowControl/>
        <w:spacing w:line="286" w:lineRule="auto" w:before="6" w:after="0"/>
        <w:ind w:left="134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enactment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renumbering of that section as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(1) thereof; and</w:t>
      </w:r>
    </w:p>
    <w:p>
      <w:pPr>
        <w:autoSpaceDN w:val="0"/>
        <w:tabs>
          <w:tab w:pos="3484" w:val="left"/>
        </w:tabs>
        <w:autoSpaceDE w:val="0"/>
        <w:widowControl/>
        <w:spacing w:line="276" w:lineRule="auto" w:before="342" w:after="0"/>
        <w:ind w:left="306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addition, immediately after the renumbered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thereof, the following new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subsection:–</w:t>
      </w:r>
    </w:p>
    <w:p>
      <w:pPr>
        <w:autoSpaceDN w:val="0"/>
        <w:autoSpaceDE w:val="0"/>
        <w:widowControl/>
        <w:spacing w:line="288" w:lineRule="auto" w:before="340" w:after="208"/>
        <w:ind w:left="3484" w:right="145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Upon the demise of a testator in a joint last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will, testamentary proceedings shall be instituted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Chapter XXXVIII or Chapter XXXVIII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Civil Procedure Code (Chapter 101), as the case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be, to obtain the probate or letters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 with the will annexed proving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will.”.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80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9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406" w:after="0"/>
              <w:ind w:left="682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44" w:right="71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9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substitution for the words “buildings erected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same, and”, of the words, “buildings erected on the same,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condominium parcel or any land parcel, and”.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38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 Sinhala</w:t>
            </w:r>
          </w:p>
          <w:p>
            <w:pPr>
              <w:autoSpaceDN w:val="0"/>
              <w:autoSpaceDE w:val="0"/>
              <w:widowControl/>
              <w:spacing w:line="235" w:lineRule="auto" w:before="4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346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Wills (Amendment) Act, No. 29 of 2022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3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9076" w:after="0"/>
        <w:ind w:left="14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38" w:lineRule="auto" w:before="10" w:after="0"/>
        <w:ind w:left="20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