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7" w:lineRule="auto" w:before="916" w:after="0"/>
        <w:ind w:left="2880" w:right="273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NOTARIES 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ACT, No. 31 OF 2022</w:t>
      </w:r>
    </w:p>
    <w:p>
      <w:pPr>
        <w:autoSpaceDN w:val="0"/>
        <w:autoSpaceDE w:val="0"/>
        <w:widowControl/>
        <w:spacing w:line="238" w:lineRule="auto" w:before="800" w:after="0"/>
        <w:ind w:left="0" w:right="29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31st of October, 2022]</w:t>
      </w:r>
    </w:p>
    <w:p>
      <w:pPr>
        <w:autoSpaceDN w:val="0"/>
        <w:autoSpaceDE w:val="0"/>
        <w:widowControl/>
        <w:spacing w:line="238" w:lineRule="auto" w:before="37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69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04,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Notaries (Amendment) Act, No. 31 of 2022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14" w:after="0"/>
        <w:ind w:left="0" w:right="37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31st of October, 2022]</w:t>
      </w:r>
    </w:p>
    <w:p>
      <w:pPr>
        <w:autoSpaceDN w:val="0"/>
        <w:autoSpaceDE w:val="0"/>
        <w:widowControl/>
        <w:spacing w:line="235" w:lineRule="auto" w:before="23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24/2014</w:t>
      </w:r>
    </w:p>
    <w:p>
      <w:pPr>
        <w:autoSpaceDN w:val="0"/>
        <w:autoSpaceDE w:val="0"/>
        <w:widowControl/>
        <w:spacing w:line="235" w:lineRule="auto" w:before="458" w:after="0"/>
        <w:ind w:left="16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OTARIES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107)</w:t>
      </w:r>
    </w:p>
    <w:p>
      <w:pPr>
        <w:autoSpaceDN w:val="0"/>
        <w:autoSpaceDE w:val="0"/>
        <w:widowControl/>
        <w:spacing w:line="245" w:lineRule="auto" w:before="230" w:after="17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Notaries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0" w:after="144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31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Notaries Ordinance (Chapter 107)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107</w:t>
            </w:r>
          </w:p>
        </w:tc>
      </w:tr>
      <w:tr>
        <w:trPr>
          <w:trHeight w:hRule="exact" w:val="56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“Attorneys-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3. (1) Every attorney-at-law who has passed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4"/>
        </w:trPr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at-law,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qualified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admission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notaries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1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examination conducted by the Council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Legal Education in conveyancing, after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admission  as such attorney-at-law and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obtained a certificate substantially in Form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53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B1 set out in the Second Schedule hereto,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attorney-at-law who has been in active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practice as a notary for a consecutive  period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least ten  years to the effect that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attorney-at-law has learnt notarial work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one year and is fully acquainted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conveyancing practices, rules and guidelines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 in or under this Ordinance 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entitled,  on an application to a warrant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him to practice as notary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language in which he has passed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examination in conveyancing, within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judicial zone in which he resides.</w:t>
      </w:r>
    </w:p>
    <w:p>
      <w:pPr>
        <w:autoSpaceDN w:val="0"/>
        <w:autoSpaceDE w:val="0"/>
        <w:widowControl/>
        <w:spacing w:line="245" w:lineRule="auto" w:before="230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notary who has been issued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warrant under subsection (1) shall, prior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practice as a notary, hand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over a letter of commencement to the Registrar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relevant land registry.”.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Notaries (Amendment) Act, No. 31 of 2022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 of the principal enactment is hereby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</w:tbl>
    <w:p>
      <w:pPr>
        <w:autoSpaceDN w:val="0"/>
        <w:tabs>
          <w:tab w:pos="3118" w:val="left"/>
          <w:tab w:pos="3522" w:val="left"/>
        </w:tabs>
        <w:autoSpaceDE w:val="0"/>
        <w:widowControl/>
        <w:spacing w:line="254" w:lineRule="auto" w:before="4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and the substitution therefor,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autoSpaceDE w:val="0"/>
        <w:widowControl/>
        <w:spacing w:line="259" w:lineRule="auto" w:before="278" w:after="0"/>
        <w:ind w:left="3942" w:right="1418" w:hanging="43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execute a bond before the High Court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depositing a sum of rupees ten thousand,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due and faithful discharge of his duties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notary, which shall be credited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Consolidated Fund; and”;</w:t>
      </w:r>
    </w:p>
    <w:p>
      <w:pPr>
        <w:autoSpaceDN w:val="0"/>
        <w:tabs>
          <w:tab w:pos="3522" w:val="left"/>
        </w:tabs>
        <w:autoSpaceDE w:val="0"/>
        <w:widowControl/>
        <w:spacing w:line="252" w:lineRule="auto" w:before="27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subsection (2) thereof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following:-</w:t>
      </w:r>
    </w:p>
    <w:p>
      <w:pPr>
        <w:autoSpaceDN w:val="0"/>
        <w:autoSpaceDE w:val="0"/>
        <w:widowControl/>
        <w:spacing w:line="257" w:lineRule="auto" w:before="282" w:after="222"/>
        <w:ind w:left="3522" w:right="1416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“(2) Every bond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signed in the presence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Court Judge having jurisdiction over the area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warrant of the notary.”;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(3) thereof.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13 of the principal enactment is hereby</w:t>
            </w:r>
          </w:p>
        </w:tc>
      </w:tr>
      <w:tr>
        <w:trPr>
          <w:trHeight w:hRule="exact" w:val="7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14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“given such bond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security” of the words, “given such bond” and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“to a fine not less than ten thousand rupees”, of the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22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 “to a fine not less than twenty-five thousand 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 of the principal enactment is hereby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 of the principal enactment is hereby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Notaries (Amendment) Act, No. 31 of 2022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16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94"/>
        <w:ind w:left="0" w:right="1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17 of the principal enactment is hereby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23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 “security”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“bond”.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19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repeal of subsection (1) thereof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90" w:after="216"/>
        <w:ind w:left="2176" w:right="2762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Where a notary has been indicted before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Court, the Minister may, on the application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Attorney-General, suspend him from the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notary pending his trial.”.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20 of the principal enactment is hereby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7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“which,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opinion of the Minister”, of the words, “under this Ordinance,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21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56" w:val="left"/>
          <w:tab w:pos="6478" w:val="left"/>
        </w:tabs>
        <w:autoSpaceDE w:val="0"/>
        <w:widowControl/>
        <w:spacing w:line="252" w:lineRule="auto" w:before="4" w:after="0"/>
        <w:ind w:left="1712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thereof,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“incompetence, age”,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word “incompetence”; and</w:t>
      </w:r>
    </w:p>
    <w:p>
      <w:pPr>
        <w:autoSpaceDN w:val="0"/>
        <w:autoSpaceDE w:val="0"/>
        <w:widowControl/>
        <w:spacing w:line="257" w:lineRule="auto" w:before="276" w:after="216"/>
        <w:ind w:left="205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subsection (4) thereof, by the substitution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“to a fine not less than two thousand five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rupees”, of the words “to a fine not less than </w:t>
      </w:r>
      <w:r>
        <w:rPr>
          <w:rFonts w:ascii="Times" w:hAnsi="Times" w:eastAsia="Times"/>
          <w:b w:val="0"/>
          <w:i w:val="0"/>
          <w:color w:val="221F1F"/>
          <w:sz w:val="20"/>
        </w:rPr>
        <w:t>ten thousand 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24 of the principal enactment is hereby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“to a fine not less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ten thousand rupees and not exceeding fifty thousand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Notaries (Amendment) Act, No. 31 of 2022</w:t>
      </w:r>
    </w:p>
    <w:p>
      <w:pPr>
        <w:autoSpaceDN w:val="0"/>
        <w:autoSpaceDE w:val="0"/>
        <w:widowControl/>
        <w:spacing w:line="286" w:lineRule="auto" w:before="522" w:after="31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rupees” of the words “to a fine not less than one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rupees and not exceeding five hundred thousand </w:t>
      </w:r>
      <w:r>
        <w:rPr>
          <w:rFonts w:ascii="Times" w:hAnsi="Times" w:eastAsia="Times"/>
          <w:b w:val="0"/>
          <w:i w:val="0"/>
          <w:color w:val="221F1F"/>
          <w:sz w:val="20"/>
        </w:rPr>
        <w:t>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26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26 of the principal enactment is hereby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3522" w:val="left"/>
        </w:tabs>
        <w:autoSpaceDE w:val="0"/>
        <w:widowControl/>
        <w:spacing w:line="274" w:lineRule="auto" w:before="12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 “security”, of the word “bond”.;</w:t>
      </w:r>
    </w:p>
    <w:p>
      <w:pPr>
        <w:autoSpaceDN w:val="0"/>
        <w:tabs>
          <w:tab w:pos="3522" w:val="left"/>
        </w:tabs>
        <w:autoSpaceDE w:val="0"/>
        <w:widowControl/>
        <w:spacing w:line="274" w:lineRule="auto" w:before="370" w:after="308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(3)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 “security” of the word “bond”.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2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27 of the principal enactment is hereby</w:t>
            </w:r>
          </w:p>
        </w:tc>
      </w:tr>
      <w:tr>
        <w:trPr>
          <w:trHeight w:hRule="exact" w:val="7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8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(2)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 “March” of the word “April”.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28 of the principal enactment is hereby</w:t>
            </w:r>
          </w:p>
        </w:tc>
      </w:tr>
      <w:tr>
        <w:trPr>
          <w:trHeight w:hRule="exact" w:val="626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2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insertion immediately after subsection (1)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 of that section of the following subsection: -</w:t>
            </w:r>
          </w:p>
        </w:tc>
      </w:tr>
    </w:tbl>
    <w:p>
      <w:pPr>
        <w:autoSpaceDN w:val="0"/>
        <w:autoSpaceDE w:val="0"/>
        <w:widowControl/>
        <w:spacing w:line="293" w:lineRule="auto" w:before="308" w:after="308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notary shall annex to such application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affidavit to the effect that such notary has forwarded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duplicates of all deeds or instruments attested by him in the </w:t>
      </w:r>
      <w:r>
        <w:rPr>
          <w:rFonts w:ascii="Times" w:hAnsi="Times" w:eastAsia="Times"/>
          <w:b w:val="0"/>
          <w:i w:val="0"/>
          <w:color w:val="221F1F"/>
          <w:sz w:val="20"/>
        </w:rPr>
        <w:t>previous year, to the Registrar of Lands.”.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31 of the principal enactment is hereby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3402" w:val="left"/>
        </w:tabs>
        <w:autoSpaceDE w:val="0"/>
        <w:widowControl/>
        <w:spacing w:line="274" w:lineRule="auto" w:before="120" w:after="0"/>
        <w:ind w:left="30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by the substitution for the rule (3) thereof,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0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Notaries (Amendment) Act, No. 31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3136" w:val="left"/>
          <w:tab w:pos="3376" w:val="left"/>
        </w:tabs>
        <w:autoSpaceDE w:val="0"/>
        <w:widowControl/>
        <w:spacing w:line="295" w:lineRule="auto" w:before="486" w:after="0"/>
        <w:ind w:left="20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“Signature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He shall not require, permit,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not to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taken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suffer any executant or any witness to</w:t>
      </w:r>
    </w:p>
    <w:p>
      <w:pPr>
        <w:autoSpaceDN w:val="0"/>
        <w:tabs>
          <w:tab w:pos="3136" w:val="left"/>
        </w:tabs>
        <w:autoSpaceDE w:val="0"/>
        <w:widowControl/>
        <w:spacing w:line="264" w:lineRule="auto" w:before="0" w:after="0"/>
        <w:ind w:left="20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blank papers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deed or instrument executed or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executed before him to sign or make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incomplete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mark of such executant or witness,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executant to affix the left or right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thumb impression or any other finger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or toe impression,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be, to such deed or instrument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duplicate or protocol, or require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executant or witness  to sign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the mark of such executant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 and such executant to affix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left or right thumb impression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finger impression or toe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impression,  as the case may be, upon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paper or other material intended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used afterwards  for any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purpose, until the whole of such deed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instrument shall have been written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engrossed thereon, and in any event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signature or affixing of the left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 thumb impression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finger impression or toe impression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executant shall be obtained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deed or instrument on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blank paper or in any incomplete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form.”;</w:t>
      </w:r>
    </w:p>
    <w:p>
      <w:pPr>
        <w:autoSpaceDN w:val="0"/>
        <w:tabs>
          <w:tab w:pos="2056" w:val="left"/>
        </w:tabs>
        <w:autoSpaceDE w:val="0"/>
        <w:widowControl/>
        <w:spacing w:line="250" w:lineRule="auto" w:before="282" w:after="222"/>
        <w:ind w:left="16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substitution for the rule (4) thereof,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4510"/>
        <w:gridCol w:w="4510"/>
      </w:tblGrid>
      <w:tr>
        <w:trPr>
          <w:trHeight w:hRule="exact" w:val="106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0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“Material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deeds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written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96" w:right="136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He shall not authenticate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attest any deed or instrument unless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same is written, typed or printed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durable parchment paper or blue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2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sheet.”;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Notaries (Amendment) Act, No. 31 of 2022</w:t>
      </w:r>
    </w:p>
    <w:p>
      <w:pPr>
        <w:autoSpaceDN w:val="0"/>
        <w:tabs>
          <w:tab w:pos="3382" w:val="left"/>
        </w:tabs>
        <w:autoSpaceDE w:val="0"/>
        <w:widowControl/>
        <w:spacing w:line="245" w:lineRule="auto" w:before="500" w:after="114"/>
        <w:ind w:left="30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substitution for the rule (5) thereof,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6"/>
        </w:trPr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7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“Deeds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written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divided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undivided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paper</w:t>
            </w:r>
          </w:p>
        </w:tc>
        <w:tc>
          <w:tcPr>
            <w:tcW w:type="dxa" w:w="38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He shall authenticate or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attest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deed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952"/>
        </w:trPr>
        <w:tc>
          <w:tcPr>
            <w:tcW w:type="dxa" w:w="1804"/>
            <w:vMerge/>
            <w:tcBorders/>
          </w:tcPr>
          <w:p/>
        </w:tc>
        <w:tc>
          <w:tcPr>
            <w:tcW w:type="dxa" w:w="38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instrument which is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one entire undivided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parchment paper or blue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sheet; or</w:t>
            </w:r>
          </w:p>
        </w:tc>
      </w:tr>
    </w:tbl>
    <w:p>
      <w:pPr>
        <w:autoSpaceDN w:val="0"/>
        <w:autoSpaceDE w:val="0"/>
        <w:widowControl/>
        <w:spacing w:line="245" w:lineRule="auto" w:before="74" w:after="0"/>
        <w:ind w:left="5422" w:right="1436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he uses two or more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separate sheets of paper, 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shall-</w:t>
      </w:r>
    </w:p>
    <w:p>
      <w:pPr>
        <w:autoSpaceDN w:val="0"/>
        <w:autoSpaceDE w:val="0"/>
        <w:widowControl/>
        <w:spacing w:line="238" w:lineRule="auto" w:before="136" w:after="0"/>
        <w:ind w:left="0" w:right="1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number every page;</w:t>
      </w:r>
    </w:p>
    <w:p>
      <w:pPr>
        <w:autoSpaceDN w:val="0"/>
        <w:autoSpaceDE w:val="0"/>
        <w:widowControl/>
        <w:spacing w:line="245" w:lineRule="auto" w:before="134" w:after="0"/>
        <w:ind w:left="5902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place his signature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each such paper;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5902" w:val="left"/>
          <w:tab w:pos="7084" w:val="left"/>
        </w:tabs>
        <w:autoSpaceDE w:val="0"/>
        <w:widowControl/>
        <w:spacing w:line="245" w:lineRule="auto" w:before="176" w:after="0"/>
        <w:ind w:left="54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cause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executant, holder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of attorney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(thereinafter referred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 the “attorney”),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authorized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corporate body,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his signature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 affix left or right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thumb impression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finger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or toe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impression to each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paper.”;</w:t>
      </w:r>
    </w:p>
    <w:p>
      <w:pPr>
        <w:autoSpaceDN w:val="0"/>
        <w:tabs>
          <w:tab w:pos="3382" w:val="left"/>
        </w:tabs>
        <w:autoSpaceDE w:val="0"/>
        <w:widowControl/>
        <w:spacing w:line="245" w:lineRule="auto" w:before="174" w:after="114"/>
        <w:ind w:left="30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by the substitution for the rule (6) thereof,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“Assurance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shall not authenticate</w:t>
            </w:r>
          </w:p>
        </w:tc>
      </w:tr>
      <w:tr>
        <w:trPr>
          <w:trHeight w:hRule="exact" w:val="210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7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attest any deed or</w:t>
            </w:r>
          </w:p>
        </w:tc>
      </w:tr>
      <w:tr>
        <w:trPr>
          <w:trHeight w:hRule="exact" w:val="160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 of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2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 unless he has an</w:t>
            </w:r>
          </w:p>
        </w:tc>
      </w:tr>
      <w:tr>
        <w:trPr>
          <w:trHeight w:hRule="exact" w:val="80"/>
        </w:trPr>
        <w:tc>
          <w:tcPr>
            <w:tcW w:type="dxa" w:w="2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required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assurance that the required</w:t>
            </w:r>
          </w:p>
        </w:tc>
      </w:tr>
      <w:tr>
        <w:trPr>
          <w:trHeight w:hRule="exact" w:val="100"/>
        </w:trPr>
        <w:tc>
          <w:tcPr>
            <w:tcW w:type="dxa" w:w="2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stamp duty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stamp duty is provided.”;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0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Notaries (Amendment) Act, No. 31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478" w:after="176"/>
        <w:ind w:left="16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by the insertion, immediately after rule (7)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new rule: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123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“Stamping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document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relating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transfer,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gift or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exchange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956" w:right="1382" w:hanging="79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Notwithstanding anything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contrary in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Ordinance or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any stamp duty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is required to be paid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407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any deed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relating to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transfer, a gift 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exchange executed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written law,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paid by the notary;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original 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receipt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407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by the notary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proof of such payment,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relevant State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shall be affixed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duplicate of the deed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instrument;</w:t>
      </w:r>
    </w:p>
    <w:p>
      <w:pPr>
        <w:autoSpaceDN w:val="0"/>
        <w:autoSpaceDE w:val="0"/>
        <w:widowControl/>
        <w:spacing w:line="245" w:lineRule="auto" w:before="242" w:after="0"/>
        <w:ind w:left="4076" w:right="278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copies of such receipt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affixed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original and the protocol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deed or instrument.”;</w:t>
      </w:r>
    </w:p>
    <w:p>
      <w:pPr>
        <w:autoSpaceDN w:val="0"/>
        <w:autoSpaceDE w:val="0"/>
        <w:widowControl/>
        <w:spacing w:line="245" w:lineRule="auto" w:before="240" w:after="0"/>
        <w:ind w:left="203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(6) in rule (9) thereof, by the substitution for the words,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“He shall not authenticate or attest any deed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unless the person executing the same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known to him or to at least two of the attesting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witnesses thereto;” of the words “He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authenticate or attest any deed or instrument unless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of the executants to the deed or instrument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attesting witnesses be known to notary or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of the executants to a deed or instrument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such notary by inspection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identity card, bio-page of the passport or </w:t>
      </w:r>
      <w:r>
        <w:rPr>
          <w:rFonts w:ascii="Times" w:hAnsi="Times" w:eastAsia="Times"/>
          <w:b w:val="0"/>
          <w:i w:val="0"/>
          <w:color w:val="221F1F"/>
          <w:sz w:val="20"/>
        </w:rPr>
        <w:t>the driving licence of such executants;”;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Notaries (Amendment) Act, No. 31 of 2022</w:t>
      </w:r>
    </w:p>
    <w:p>
      <w:pPr>
        <w:autoSpaceDN w:val="0"/>
        <w:tabs>
          <w:tab w:pos="3382" w:val="left"/>
        </w:tabs>
        <w:autoSpaceDE w:val="0"/>
        <w:widowControl/>
        <w:spacing w:line="266" w:lineRule="auto" w:before="512" w:after="282"/>
        <w:ind w:left="30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by the substitution for the rule (14) thereof,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4510"/>
        <w:gridCol w:w="4510"/>
      </w:tblGrid>
      <w:tr>
        <w:trPr>
          <w:trHeight w:hRule="exact" w:val="1168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4" w:after="0"/>
              <w:ind w:left="1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“Full names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executants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witnesses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ascertained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02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(14) He shall, before any executant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witness signs or makes a mark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any executant affixes his left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 thumb impression or any other</w:t>
            </w:r>
          </w:p>
        </w:tc>
      </w:tr>
    </w:tbl>
    <w:p>
      <w:pPr>
        <w:autoSpaceDN w:val="0"/>
        <w:autoSpaceDE w:val="0"/>
        <w:widowControl/>
        <w:spacing w:line="293" w:lineRule="auto" w:before="28" w:after="0"/>
        <w:ind w:left="44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finger impression or toe impression,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ascertain the full names of the executant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witnesses to such deed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and if an executant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or instrument is a corporate body,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to be affixed the seal 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body and obtain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signatures of the board of directors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authorized by the board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resolution to sign such deed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and if the name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executant or witness differs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given in the identification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of such executant or witness,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shall, in his attestation of such deed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instrument, describe such executant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witness by such name and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written in the signature. Where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executant is a body corporate, 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attach a copy of the board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resolution authorizing the executant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 such deed or instrument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protocol of such deed or instrument.”;</w:t>
      </w:r>
    </w:p>
    <w:p>
      <w:pPr>
        <w:autoSpaceDN w:val="0"/>
        <w:tabs>
          <w:tab w:pos="3382" w:val="left"/>
        </w:tabs>
        <w:autoSpaceDE w:val="0"/>
        <w:widowControl/>
        <w:spacing w:line="266" w:lineRule="auto" w:before="342" w:after="0"/>
        <w:ind w:left="30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by the insertion, immediately after rule (15)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new rule: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7" w:lineRule="auto" w:before="0" w:after="0"/>
        <w:ind w:left="20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Notaries (Amendment) Act, No. 31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878" w:val="left"/>
          <w:tab w:pos="3478" w:val="left"/>
          <w:tab w:pos="3538" w:val="left"/>
        </w:tabs>
        <w:autoSpaceDE w:val="0"/>
        <w:widowControl/>
        <w:spacing w:line="245" w:lineRule="auto" w:before="474" w:after="0"/>
        <w:ind w:left="1438" w:right="417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“Executant,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(15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). (1)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Every-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attorney,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authorized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executant;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corporate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body to affix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(ii) attorney ; or</w:t>
      </w:r>
    </w:p>
    <w:p>
      <w:pPr>
        <w:autoSpaceDN w:val="0"/>
        <w:tabs>
          <w:tab w:pos="3178" w:val="left"/>
          <w:tab w:pos="3418" w:val="left"/>
          <w:tab w:pos="3838" w:val="left"/>
        </w:tabs>
        <w:autoSpaceDE w:val="0"/>
        <w:widowControl/>
        <w:spacing w:line="245" w:lineRule="auto" w:before="10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his finger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impression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board of directors or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person of 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instrument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body;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respect of an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immovable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executing a deed or instrument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an immovable property,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the provisions of rule (15)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affix his thumb impression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hand above or beside his signature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original, duplicate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protocol of such deed or instrument;</w:t>
      </w:r>
    </w:p>
    <w:p>
      <w:pPr>
        <w:autoSpaceDN w:val="0"/>
        <w:tabs>
          <w:tab w:pos="3178" w:val="left"/>
        </w:tabs>
        <w:autoSpaceDE w:val="0"/>
        <w:widowControl/>
        <w:spacing w:line="245" w:lineRule="auto" w:before="210" w:after="0"/>
        <w:ind w:left="27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thumb impression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executant, an attoney or board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directors or  an authorized person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body cannot be obtained,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an executant, an attorney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person of a corporate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affix his finger impression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hand or toe impression, above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beside his signature to the original,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duplicate and the protocol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deed or instrument;</w:t>
      </w:r>
    </w:p>
    <w:p>
      <w:pPr>
        <w:autoSpaceDN w:val="0"/>
        <w:tabs>
          <w:tab w:pos="3178" w:val="left"/>
        </w:tabs>
        <w:autoSpaceDE w:val="0"/>
        <w:widowControl/>
        <w:spacing w:line="245" w:lineRule="auto" w:before="210" w:after="0"/>
        <w:ind w:left="272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 deed or instrument is signed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 attorney, such attorney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to the notary an affidavit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affirming that the Power of Attorney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genuine and in force and the grantor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alive when executing such deed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instrument;</w:t>
      </w:r>
    </w:p>
    <w:p>
      <w:pPr>
        <w:autoSpaceDN w:val="0"/>
        <w:tabs>
          <w:tab w:pos="3178" w:val="left"/>
        </w:tabs>
        <w:autoSpaceDE w:val="0"/>
        <w:widowControl/>
        <w:spacing w:line="245" w:lineRule="auto" w:before="206" w:after="0"/>
        <w:ind w:left="27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transferee is a minor,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legal guardian or guardian, as the case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shall be a competent person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on behalf of the transferee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of this section.”;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Notaries (Amendment) Act, No. 31 of 2022</w:t>
      </w:r>
    </w:p>
    <w:p>
      <w:pPr>
        <w:autoSpaceDN w:val="0"/>
        <w:autoSpaceDE w:val="0"/>
        <w:widowControl/>
        <w:spacing w:line="235" w:lineRule="auto" w:before="484" w:after="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(9) in rule (16)–</w:t>
      </w:r>
    </w:p>
    <w:p>
      <w:pPr>
        <w:autoSpaceDN w:val="0"/>
        <w:autoSpaceDE w:val="0"/>
        <w:widowControl/>
        <w:spacing w:line="247" w:lineRule="auto" w:before="254" w:after="0"/>
        <w:ind w:left="386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“the assessment number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name, if any, of the street in which it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situated.”, of the following: -</w:t>
      </w:r>
    </w:p>
    <w:p>
      <w:pPr>
        <w:autoSpaceDN w:val="0"/>
        <w:autoSpaceDE w:val="0"/>
        <w:widowControl/>
        <w:spacing w:line="250" w:lineRule="auto" w:before="254" w:after="0"/>
        <w:ind w:left="3862" w:right="143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“the assessment number and the name, if any,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street in which it is situated and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of a condominium property, where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condominium parcel can be identified,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of such condominium parcel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elements, and where the condominium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parcel cannot be identified, the whole land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land parcel.”; and</w:t>
      </w:r>
    </w:p>
    <w:p>
      <w:pPr>
        <w:autoSpaceDN w:val="0"/>
        <w:autoSpaceDE w:val="0"/>
        <w:widowControl/>
        <w:spacing w:line="247" w:lineRule="auto" w:before="254" w:after="0"/>
        <w:ind w:left="386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from “which it is a share: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however” to the end of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of the words “which it is a share.”;</w:t>
      </w:r>
    </w:p>
    <w:p>
      <w:pPr>
        <w:autoSpaceDN w:val="0"/>
        <w:autoSpaceDE w:val="0"/>
        <w:widowControl/>
        <w:spacing w:line="245" w:lineRule="auto" w:before="254" w:after="0"/>
        <w:ind w:left="3744" w:right="1296" w:hanging="81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(10)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rule (17) thereof, </w:t>
      </w:r>
      <w:r>
        <w:rPr>
          <w:rFonts w:ascii="Times" w:hAnsi="Times" w:eastAsia="Times"/>
          <w:b w:val="0"/>
          <w:i w:val="0"/>
          <w:color w:val="221F1F"/>
          <w:sz w:val="20"/>
        </w:rPr>
        <w:t>and the substitution therefor, of the following:-</w:t>
      </w:r>
    </w:p>
    <w:p>
      <w:pPr>
        <w:autoSpaceDN w:val="0"/>
        <w:autoSpaceDE w:val="0"/>
        <w:widowControl/>
        <w:spacing w:line="250" w:lineRule="auto" w:before="254" w:after="0"/>
        <w:ind w:left="4584" w:right="1436" w:hanging="73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he shall obtain from the Registrar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relevant Land Registry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certified extract of the folio containing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last entry pertaining to such land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immovable property containing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ownership and the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encumbrances relating to such land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immovable property;</w:t>
      </w:r>
    </w:p>
    <w:p>
      <w:pPr>
        <w:autoSpaceDN w:val="0"/>
        <w:autoSpaceDE w:val="0"/>
        <w:widowControl/>
        <w:spacing w:line="247" w:lineRule="auto" w:before="254" w:after="0"/>
        <w:ind w:left="4584" w:right="1436" w:hanging="3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he shall, if any previous deed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  write in ink or print 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front page of the deed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the volume and the folio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previous deed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registered;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09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Notaries (Amendment) Act, No. 31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76" w:lineRule="auto" w:before="502" w:after="0"/>
        <w:ind w:left="3218" w:right="2802" w:hanging="4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in the case of a deed of transfer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of gift, or deed of exchange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will, he shall affix to the original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 deed or instrument passport size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certified photographs of the parties,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notary has affixed his seal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keep copies of such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card, passport or driving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licence attached to the protocol;”;</w:t>
      </w:r>
    </w:p>
    <w:p>
      <w:pPr>
        <w:autoSpaceDN w:val="0"/>
        <w:autoSpaceDE w:val="0"/>
        <w:widowControl/>
        <w:spacing w:line="259" w:lineRule="auto" w:before="308" w:after="0"/>
        <w:ind w:left="1872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addition, immediately after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paragraphs: -</w:t>
      </w:r>
    </w:p>
    <w:p>
      <w:pPr>
        <w:autoSpaceDN w:val="0"/>
        <w:autoSpaceDE w:val="0"/>
        <w:widowControl/>
        <w:spacing w:line="274" w:lineRule="auto" w:before="308" w:after="0"/>
        <w:ind w:left="2978" w:right="280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he shall write on the front page of the deed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full name, number assigned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notary, address of his office and telephone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number. If he is a legal officer working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organization, entity or company, 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specify the registered address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organization, entity or company;</w:t>
      </w:r>
    </w:p>
    <w:p>
      <w:pPr>
        <w:autoSpaceDN w:val="0"/>
        <w:autoSpaceDE w:val="0"/>
        <w:widowControl/>
        <w:spacing w:line="252" w:lineRule="auto" w:before="310" w:after="0"/>
        <w:ind w:left="2978" w:right="280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a party to any deed or instrument is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body he shall retain a certified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copy of the certificate of incorporation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instrument establishing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 entity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details of board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directors; and</w:t>
      </w:r>
    </w:p>
    <w:p>
      <w:pPr>
        <w:autoSpaceDN w:val="0"/>
        <w:autoSpaceDE w:val="0"/>
        <w:widowControl/>
        <w:spacing w:line="257" w:lineRule="auto" w:before="262" w:after="0"/>
        <w:ind w:left="2978" w:right="280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case of a deed in relation to a trust,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shall, state the names, addresses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identity card numbers of trustees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are acting under a Trust Deed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 of such  Trust Deed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they are empowered to execute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deed, in the attestation, and retain a copy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trust deed.”;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Notaries (Amendment) Act, No. 31 of 2022</w:t>
      </w:r>
    </w:p>
    <w:p>
      <w:pPr>
        <w:autoSpaceDN w:val="0"/>
        <w:autoSpaceDE w:val="0"/>
        <w:widowControl/>
        <w:spacing w:line="238" w:lineRule="auto" w:before="504" w:after="0"/>
        <w:ind w:left="0" w:right="39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(11) in rule (20) thereof,–</w:t>
      </w:r>
    </w:p>
    <w:p>
      <w:pPr>
        <w:autoSpaceDN w:val="0"/>
        <w:tabs>
          <w:tab w:pos="4024" w:val="left"/>
        </w:tabs>
        <w:autoSpaceDE w:val="0"/>
        <w:widowControl/>
        <w:spacing w:line="262" w:lineRule="auto" w:before="322" w:after="0"/>
        <w:ind w:left="36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substitution therefor of the following:-</w:t>
      </w:r>
    </w:p>
    <w:p>
      <w:pPr>
        <w:autoSpaceDN w:val="0"/>
        <w:autoSpaceDE w:val="0"/>
        <w:widowControl/>
        <w:spacing w:line="281" w:lineRule="auto" w:before="320" w:after="0"/>
        <w:ind w:left="4462" w:right="1436" w:hanging="43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whether the executants of the said deed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instrument are known to him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he has identified them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inspection of the national identity card,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bio-page of the passport or the driving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 or whether the witnesses thereto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known to him and in the latter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shall specify which of the executants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person acknowledging are known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said witness,”;</w:t>
      </w:r>
    </w:p>
    <w:p>
      <w:pPr>
        <w:autoSpaceDN w:val="0"/>
        <w:tabs>
          <w:tab w:pos="4024" w:val="left"/>
        </w:tabs>
        <w:autoSpaceDE w:val="0"/>
        <w:widowControl/>
        <w:spacing w:line="262" w:lineRule="auto" w:before="320" w:after="0"/>
        <w:ind w:left="36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substitution therefor, of the following:-</w:t>
      </w:r>
    </w:p>
    <w:p>
      <w:pPr>
        <w:autoSpaceDN w:val="0"/>
        <w:autoSpaceDE w:val="0"/>
        <w:widowControl/>
        <w:spacing w:line="281" w:lineRule="auto" w:before="320" w:after="0"/>
        <w:ind w:left="4462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whether any money was paid or not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presence as consideration or part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consideration of the deed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instrument, and if paid, the actual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in local currency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and if the payment is made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cheque, pay order, bank draft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banker’s cheque the details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shall be set out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attestation, in proof of such payment.”;</w:t>
      </w:r>
    </w:p>
    <w:p>
      <w:pPr>
        <w:autoSpaceDN w:val="0"/>
        <w:autoSpaceDE w:val="0"/>
        <w:widowControl/>
        <w:spacing w:line="271" w:lineRule="auto" w:before="320" w:after="0"/>
        <w:ind w:left="4024" w:right="1436" w:hanging="31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words “affixed thereto.” 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“affixed thereto; and”;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09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Notaries (Amendment) Act, No. 31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656" w:val="left"/>
        </w:tabs>
        <w:autoSpaceDE w:val="0"/>
        <w:widowControl/>
        <w:spacing w:line="245" w:lineRule="auto" w:before="484" w:after="0"/>
        <w:ind w:left="23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addition, immediately after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thereof, the following new paragraph: -</w:t>
      </w:r>
    </w:p>
    <w:p>
      <w:pPr>
        <w:autoSpaceDN w:val="0"/>
        <w:autoSpaceDE w:val="0"/>
        <w:widowControl/>
        <w:spacing w:line="235" w:lineRule="auto" w:before="254" w:after="0"/>
        <w:ind w:left="0" w:right="42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 in the case of a will–</w:t>
      </w:r>
    </w:p>
    <w:p>
      <w:pPr>
        <w:autoSpaceDN w:val="0"/>
        <w:autoSpaceDE w:val="0"/>
        <w:widowControl/>
        <w:spacing w:line="247" w:lineRule="auto" w:before="254" w:after="0"/>
        <w:ind w:left="3698" w:right="280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set out in the attestation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will that the testator was in good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sound mind to execute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will; and</w:t>
      </w:r>
    </w:p>
    <w:p>
      <w:pPr>
        <w:autoSpaceDN w:val="0"/>
        <w:autoSpaceDE w:val="0"/>
        <w:widowControl/>
        <w:spacing w:line="247" w:lineRule="auto" w:before="254" w:after="0"/>
        <w:ind w:left="3698" w:right="280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enter in the deed register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by him, the number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such will,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the name of the testator.”;</w:t>
      </w:r>
    </w:p>
    <w:p>
      <w:pPr>
        <w:autoSpaceDN w:val="0"/>
        <w:autoSpaceDE w:val="0"/>
        <w:widowControl/>
        <w:spacing w:line="235" w:lineRule="auto" w:before="254" w:after="0"/>
        <w:ind w:left="15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(12) by the repeal of rule (27) thereof;</w:t>
      </w:r>
    </w:p>
    <w:p>
      <w:pPr>
        <w:autoSpaceDN w:val="0"/>
        <w:autoSpaceDE w:val="0"/>
        <w:widowControl/>
        <w:spacing w:line="247" w:lineRule="auto" w:before="254" w:after="0"/>
        <w:ind w:left="2018" w:right="2802" w:hanging="45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(13) by the substitution in rule (30) thereof, from the words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“he shall preserve a true copy of the registered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attorney with his protocol” to the end of that rule,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“he shall annex a certified copy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of attorney obtained from the Registrar 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original, and true copies to the duplicate and </w:t>
      </w:r>
      <w:r>
        <w:rPr>
          <w:rFonts w:ascii="Times" w:hAnsi="Times" w:eastAsia="Times"/>
          <w:b w:val="0"/>
          <w:i w:val="0"/>
          <w:color w:val="221F1F"/>
          <w:sz w:val="20"/>
        </w:rPr>
        <w:t>the protocol thereof.”;</w:t>
      </w:r>
    </w:p>
    <w:p>
      <w:pPr>
        <w:autoSpaceDN w:val="0"/>
        <w:tabs>
          <w:tab w:pos="2018" w:val="left"/>
        </w:tabs>
        <w:autoSpaceDE w:val="0"/>
        <w:widowControl/>
        <w:spacing w:line="245" w:lineRule="auto" w:before="254" w:after="194"/>
        <w:ind w:left="15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(14) by the insertion, immediately after rule (30)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new rule:-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125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“Submission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 deed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instrument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8" w:right="138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It shall be the duty of every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notary to submit for registration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Registrar, every deed or instrument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attested by him before the expiry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thirty days from the date of attestation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thereof:</w:t>
      </w:r>
    </w:p>
    <w:p>
      <w:pPr>
        <w:autoSpaceDN w:val="0"/>
        <w:autoSpaceDE w:val="0"/>
        <w:widowControl/>
        <w:spacing w:line="247" w:lineRule="auto" w:before="254" w:after="0"/>
        <w:ind w:left="309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such deed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is required to be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outside the jurisdiction in which he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practicing, he shall submit such deed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Notaries (Amendment) Act, No. 31 of 2022</w:t>
      </w:r>
    </w:p>
    <w:p>
      <w:pPr>
        <w:autoSpaceDN w:val="0"/>
        <w:autoSpaceDE w:val="0"/>
        <w:widowControl/>
        <w:spacing w:line="271" w:lineRule="auto" w:before="504" w:after="260"/>
        <w:ind w:left="444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instrument for registration before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expiry of sixty days from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attestation.”.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34 of the principal enactment is hereby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substituted therefor:-</w:t>
            </w:r>
          </w:p>
        </w:tc>
      </w:tr>
    </w:tbl>
    <w:p>
      <w:pPr>
        <w:autoSpaceDN w:val="0"/>
        <w:autoSpaceDE w:val="0"/>
        <w:widowControl/>
        <w:spacing w:line="238" w:lineRule="auto" w:before="6" w:after="2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608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6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“Penalty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breaches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in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62" w:lineRule="auto" w:before="20" w:after="0"/>
              <w:ind w:left="10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34. (1) Every notary who acts in violation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or disregards or neglects to observe-</w:t>
            </w:r>
          </w:p>
        </w:tc>
      </w:tr>
    </w:tbl>
    <w:p>
      <w:pPr>
        <w:autoSpaceDN w:val="0"/>
        <w:tabs>
          <w:tab w:pos="4098" w:val="left"/>
          <w:tab w:pos="4444" w:val="left"/>
        </w:tabs>
        <w:autoSpaceDE w:val="0"/>
        <w:widowControl/>
        <w:spacing w:line="281" w:lineRule="auto" w:before="4" w:after="0"/>
        <w:ind w:left="280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rules (1), (31) or (32) set out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31, shall be guilty of an offence,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shall, on conviction after summary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before a Magistrate, be liable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not exceeding five 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rupees, in addition to any civil liability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 may incur thereby;</w:t>
      </w:r>
    </w:p>
    <w:p>
      <w:pPr>
        <w:autoSpaceDN w:val="0"/>
        <w:autoSpaceDE w:val="0"/>
        <w:widowControl/>
        <w:spacing w:line="281" w:lineRule="auto" w:before="320" w:after="0"/>
        <w:ind w:left="4444" w:right="145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rules (2), (3),(6),(7),(11),(18),(21),(23),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(24) or (30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set out in section 31,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guilty of an offence, and shall,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before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Magistrate, be liable to a fine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twenty thousand rupees,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any civil liability he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incur thereby; or</w:t>
      </w:r>
    </w:p>
    <w:p>
      <w:pPr>
        <w:autoSpaceDN w:val="0"/>
        <w:autoSpaceDE w:val="0"/>
        <w:widowControl/>
        <w:spacing w:line="278" w:lineRule="auto" w:before="322" w:after="0"/>
        <w:ind w:left="4444" w:right="1456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other rule set out in section 31,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guilty of an offence, and shall,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conviction after summary trial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a Magistrate, be liable to a fine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fifty thousand rupees,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any civil liability he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incur thereby.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09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Notaries (Amendment) Act, No. 31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69" w:lineRule="auto" w:before="496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notary acts in violation of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disregards or neglects to observe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rule (26) set out in section 31 the Registrar-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may, by a written notice served on him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personally or sent by registered post, call upon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notary to comply with the requirements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said rule within such further period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as he may specify in such notice for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purpose. In the event of such notary failing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the terms of such notice,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may, on application made in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Registrar-General, suspend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notary from his office as notary.</w:t>
      </w:r>
    </w:p>
    <w:p>
      <w:pPr>
        <w:autoSpaceDN w:val="0"/>
        <w:autoSpaceDE w:val="0"/>
        <w:widowControl/>
        <w:spacing w:line="264" w:lineRule="auto" w:before="294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notary, whose licence is suspended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attest any deed or instrument,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receipt of the notice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suspension.</w:t>
      </w:r>
    </w:p>
    <w:p>
      <w:pPr>
        <w:autoSpaceDN w:val="0"/>
        <w:autoSpaceDE w:val="0"/>
        <w:widowControl/>
        <w:spacing w:line="266" w:lineRule="auto" w:before="290" w:after="0"/>
        <w:ind w:left="253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Registrar-General shall, forthwith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notify the Registrars of Land and the registrars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High Courts, District Courts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Magistrates’ Courts, requiring such registrars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display a copy of the notice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suspension in the relevant land registry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courts’ premises.</w:t>
      </w:r>
    </w:p>
    <w:p>
      <w:pPr>
        <w:autoSpaceDN w:val="0"/>
        <w:autoSpaceDE w:val="0"/>
        <w:widowControl/>
        <w:spacing w:line="269" w:lineRule="auto" w:before="294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notary who fails to submit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duplicates within the time specified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of suspension, shall be guilty of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and shall on conviction after a summary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before a Magistrate, be liable to a fine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five hundred thousand rupees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may, on application made in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Registrar-General, cancel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licence of such notary.”.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3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4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Notaries (Amendment) Act, No. 31 of 2022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38 of the principal enactment is hereby</w:t>
            </w:r>
          </w:p>
        </w:tc>
      </w:tr>
      <w:tr>
        <w:trPr>
          <w:trHeight w:hRule="exact" w:val="8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8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(2)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“not exceeding twenty five thousand rupees”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“not exceeding fifty thousand rupees”.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39 of the principal enactment is hereby</w:t>
            </w:r>
          </w:p>
        </w:tc>
      </w:tr>
      <w:tr>
        <w:trPr>
          <w:trHeight w:hRule="exact" w:val="74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8" w:val="left"/>
              </w:tabs>
              <w:autoSpaceDE w:val="0"/>
              <w:widowControl/>
              <w:spacing w:line="374" w:lineRule="auto" w:before="18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 for the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338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words,“signature or mark” of the words “signature,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left or right thumb impression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finger impression or toe impression, as the case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be”; and</w:t>
      </w:r>
    </w:p>
    <w:p>
      <w:pPr>
        <w:autoSpaceDN w:val="0"/>
        <w:autoSpaceDE w:val="0"/>
        <w:widowControl/>
        <w:spacing w:line="254" w:lineRule="auto" w:before="266" w:after="206"/>
        <w:ind w:left="3384" w:right="143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by the substitution, for the words “for any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five years.” of the words “for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not exceeding ten years, or be liable to a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rupees one hundred thousand or both such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imprisonment, and to pay such compensation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  who has suffered any damage or loss as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result of such action of the   notary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to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 may be determined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court.”.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41 of the principal enactment is hereby</w:t>
            </w:r>
          </w:p>
        </w:tc>
      </w:tr>
      <w:tr>
        <w:trPr>
          <w:trHeight w:hRule="exact" w:val="7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14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 thereof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words from “to simple or rigorous” to the end of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of the words, “to a fine not exceeding fifty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47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thousand repees.”.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43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43 of the principal enactment is hereby</w:t>
            </w:r>
          </w:p>
        </w:tc>
      </w:tr>
      <w:tr>
        <w:trPr>
          <w:trHeight w:hRule="exact" w:val="808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8" w:after="0"/>
              <w:ind w:left="12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insertion of the following definitions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before the definition of the expression “High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Judge”:-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0"/>
        <w:ind w:left="3504" w:right="143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“Council of Legal Education” shall have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as assigned to it by section 2 of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>of the Legal Education Ordinance (Chapter 276);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09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Notaries (Amendment) Act, No. 31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5" w:lineRule="auto" w:before="462" w:after="0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 executant” means–</w:t>
      </w:r>
    </w:p>
    <w:p>
      <w:pPr>
        <w:autoSpaceDN w:val="0"/>
        <w:tabs>
          <w:tab w:pos="2318" w:val="left"/>
        </w:tabs>
        <w:autoSpaceDE w:val="0"/>
        <w:widowControl/>
        <w:spacing w:line="245" w:lineRule="auto" w:before="254" w:after="0"/>
        <w:ind w:left="19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relation to a deed of transfer, the transferor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trasferee; and</w:t>
      </w:r>
    </w:p>
    <w:p>
      <w:pPr>
        <w:autoSpaceDN w:val="0"/>
        <w:tabs>
          <w:tab w:pos="2318" w:val="left"/>
        </w:tabs>
        <w:autoSpaceDE w:val="0"/>
        <w:widowControl/>
        <w:spacing w:line="245" w:lineRule="auto" w:before="254" w:after="194"/>
        <w:ind w:left="19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relation to other deed or instrument the parties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such deed or instrument;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Second Schedule to the principal enactment is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97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2" w:val="left"/>
                <w:tab w:pos="1336" w:val="left"/>
              </w:tabs>
              <w:autoSpaceDE w:val="0"/>
              <w:widowControl/>
              <w:spacing w:line="329" w:lineRule="auto" w:before="1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as follows:–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by the insertion immediately after Form B thereof,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form which shall have effect as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Form B1 of the principal enactment:-</w:t>
      </w:r>
    </w:p>
    <w:p>
      <w:pPr>
        <w:autoSpaceDN w:val="0"/>
        <w:tabs>
          <w:tab w:pos="5476" w:val="left"/>
        </w:tabs>
        <w:autoSpaceDE w:val="0"/>
        <w:widowControl/>
        <w:spacing w:line="319" w:lineRule="auto" w:before="588" w:after="0"/>
        <w:ind w:left="37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“Form B1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[Section 3]</w:t>
      </w:r>
    </w:p>
    <w:p>
      <w:pPr>
        <w:autoSpaceDN w:val="0"/>
        <w:autoSpaceDE w:val="0"/>
        <w:widowControl/>
        <w:spacing w:line="245" w:lineRule="auto" w:before="128" w:after="0"/>
        <w:ind w:left="1996" w:right="2782" w:firstLine="162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I, ………………… Attorney-at-Law and Notary Public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Judicial Zone of ………………., do hereby certify that I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have commenced practicing as a Notary on…………………….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have been in active practice for a consecutive period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ten years and that Mr/Mrs/Ms…………………….. Attorney-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at-Law has pursued his studies under me on notarial practice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for a period of one year since…………………..</w:t>
      </w:r>
    </w:p>
    <w:p>
      <w:pPr>
        <w:autoSpaceDN w:val="0"/>
        <w:autoSpaceDE w:val="0"/>
        <w:widowControl/>
        <w:spacing w:line="238" w:lineRule="auto" w:before="190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Date ……………………….</w:t>
      </w:r>
    </w:p>
    <w:p>
      <w:pPr>
        <w:autoSpaceDN w:val="0"/>
        <w:autoSpaceDE w:val="0"/>
        <w:widowControl/>
        <w:spacing w:line="238" w:lineRule="auto" w:before="190" w:after="0"/>
        <w:ind w:left="0" w:right="36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……………………….</w:t>
      </w:r>
    </w:p>
    <w:p>
      <w:pPr>
        <w:autoSpaceDN w:val="0"/>
        <w:autoSpaceDE w:val="0"/>
        <w:widowControl/>
        <w:spacing w:line="245" w:lineRule="auto" w:before="2" w:after="0"/>
        <w:ind w:left="3168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(signature)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Attorney-at-Law and Notary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( Imprint of the Seal)”;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154" w:after="494"/>
        <w:ind w:left="16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repeal of Form E of that Schedule,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therefor, of the following form: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80.0" w:type="dxa"/>
      </w:tblPr>
      <w:tblGrid>
        <w:gridCol w:w="4510"/>
        <w:gridCol w:w="4510"/>
      </w:tblGrid>
      <w:tr>
        <w:trPr>
          <w:trHeight w:hRule="exact" w:val="392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“FORM E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3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[Section 31(21)]</w:t>
            </w:r>
          </w:p>
        </w:tc>
      </w:tr>
    </w:tbl>
    <w:p>
      <w:pPr>
        <w:autoSpaceDN w:val="0"/>
        <w:autoSpaceDE w:val="0"/>
        <w:widowControl/>
        <w:spacing w:line="238" w:lineRule="auto" w:before="40" w:after="0"/>
        <w:ind w:left="0" w:right="42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Form of Attestation</w:t>
      </w:r>
    </w:p>
    <w:p>
      <w:pPr>
        <w:autoSpaceDN w:val="0"/>
        <w:autoSpaceDE w:val="0"/>
        <w:widowControl/>
        <w:spacing w:line="245" w:lineRule="auto" w:before="190" w:after="0"/>
        <w:ind w:left="1996" w:right="2782" w:firstLine="162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I, Notary Public of ………………………………… (Address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Notary Public) in the Judicial Zone of............ do hereby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certify and attest that the foregoing instrument having been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46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Notaries (Amendment) Act, No. 31 of 2022</w:t>
      </w:r>
    </w:p>
    <w:p>
      <w:pPr>
        <w:autoSpaceDN w:val="0"/>
        <w:autoSpaceDE w:val="0"/>
        <w:widowControl/>
        <w:spacing w:line="300" w:lineRule="auto" w:before="516" w:after="0"/>
        <w:ind w:left="334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read over by (or, read and explained by) me, the said notary,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said executants (names), who have  signed  this deed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(illegibly/ as Juvanis, as the case may be) and affixed their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(thumb of left/right hand or any other finger or toe) impression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the presence  of (insert the names of the witnesses in full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the addresses) holder of National Identity Card/ Passport/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Driving Licence No. ......, the subscribing witnesses hereto,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who signed (illlegibly/as ......., as the case may be)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respectively, and the same was signed by the said executants,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said  witnesses and also by me the said Notary, in my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presence and in the presence of one another, all being present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at the same time on the …………………..day of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…………………at ……………………</w:t>
      </w:r>
    </w:p>
    <w:p>
      <w:pPr>
        <w:autoSpaceDN w:val="0"/>
        <w:autoSpaceDE w:val="0"/>
        <w:widowControl/>
        <w:spacing w:line="293" w:lineRule="auto" w:before="288" w:after="0"/>
        <w:ind w:left="3342" w:right="1436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certify that the (executant …… is known to me/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witnesses are known to me/ I have checked their identity by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inspection of their (national identity card / passport/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driving licence) and prior to the execution of the foregoing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instrument, I have inspected the identity card/ passport/ driving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licence of the executant/s.</w:t>
      </w:r>
    </w:p>
    <w:p>
      <w:pPr>
        <w:autoSpaceDN w:val="0"/>
        <w:autoSpaceDE w:val="0"/>
        <w:widowControl/>
        <w:spacing w:line="300" w:lineRule="auto" w:before="286" w:after="0"/>
        <w:ind w:left="3342" w:right="1436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further certify and attest that I have affixed hereto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recent photographs of the executants to the original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deed or instrument and that (in the case of a transfer or a gift)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stamp duty to the value of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Rs.</w:t>
      </w:r>
      <w:r>
        <w:rPr>
          <w:rFonts w:ascii="Times" w:hAnsi="Times" w:eastAsia="Times"/>
          <w:b w:val="0"/>
          <w:i w:val="0"/>
          <w:color w:val="221F1F"/>
          <w:sz w:val="16"/>
        </w:rPr>
        <w:t>………(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Rs.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figures) was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paid to the credit of the ……….Provincial Council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State Bank of …………………. in proof of which the original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such stamp duty paying in slip No. …………… dated... 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affixed to the duplicate of this instrument and, copies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affixed to the original and the protocol / (in all other cases)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original of this instrument bears ………..stamps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value of Rs…….. and the duplicate …….stamps of the value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of Rs…………..</w:t>
      </w:r>
    </w:p>
    <w:p>
      <w:pPr>
        <w:autoSpaceDN w:val="0"/>
        <w:autoSpaceDE w:val="0"/>
        <w:widowControl/>
        <w:spacing w:line="293" w:lineRule="auto" w:before="288" w:after="0"/>
        <w:ind w:left="3342" w:right="1436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further certify that the withinmentioned consideration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(was paid in my presence by the Purchaser to the Vendor 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Lessee to the Lessor, or was not paid in my presence. However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Vendor/Lessor acknowledges the receipt of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consideration from the Purchaser/Lessee prior to the execution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hereof).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7" w:lineRule="auto" w:before="0" w:after="0"/>
        <w:ind w:left="209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Notaries (Amendment) Act, No. 31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498" w:after="0"/>
        <w:ind w:left="199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(in case of a will) And I further certify and attest that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testator was in good and sound mind to execute the will.</w:t>
      </w:r>
    </w:p>
    <w:p>
      <w:pPr>
        <w:autoSpaceDN w:val="0"/>
        <w:autoSpaceDE w:val="0"/>
        <w:widowControl/>
        <w:spacing w:line="259" w:lineRule="auto" w:before="234" w:after="0"/>
        <w:ind w:left="199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further certify and attest that on page…… in line…..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word/letter ............ was erased and written over in ink/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deleted prior to the execution hereof.</w:t>
      </w:r>
    </w:p>
    <w:p>
      <w:pPr>
        <w:autoSpaceDN w:val="0"/>
        <w:autoSpaceDE w:val="0"/>
        <w:widowControl/>
        <w:spacing w:line="245" w:lineRule="auto" w:before="4" w:after="0"/>
        <w:ind w:left="1996" w:right="2782" w:firstLine="162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have annexed a certified copy of the registered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Attorney to the original, and true copies to the duplicate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and protocol of this deed.  (in case of Power of Attorney)</w:t>
      </w:r>
    </w:p>
    <w:p>
      <w:pPr>
        <w:autoSpaceDN w:val="0"/>
        <w:autoSpaceDE w:val="0"/>
        <w:widowControl/>
        <w:spacing w:line="245" w:lineRule="auto" w:before="166" w:after="0"/>
        <w:ind w:left="1996" w:right="2782" w:firstLine="162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also certify that I have renewed my licence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year/ I have applied for renewal of the licence for the current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year.</w:t>
      </w:r>
    </w:p>
    <w:p>
      <w:pPr>
        <w:autoSpaceDN w:val="0"/>
        <w:autoSpaceDE w:val="0"/>
        <w:widowControl/>
        <w:spacing w:line="238" w:lineRule="auto" w:before="166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Date: ……………………</w:t>
      </w:r>
    </w:p>
    <w:p>
      <w:pPr>
        <w:autoSpaceDN w:val="0"/>
        <w:autoSpaceDE w:val="0"/>
        <w:widowControl/>
        <w:spacing w:line="238" w:lineRule="auto" w:before="166" w:after="0"/>
        <w:ind w:left="0" w:right="3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………………………….</w:t>
      </w:r>
    </w:p>
    <w:p>
      <w:pPr>
        <w:autoSpaceDN w:val="0"/>
        <w:autoSpaceDE w:val="0"/>
        <w:widowControl/>
        <w:spacing w:line="245" w:lineRule="auto" w:before="0" w:after="306"/>
        <w:ind w:left="4032" w:right="331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(signature)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Notary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(Imprint of the Seal)”.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avoidance of doubt, it is hereby declared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Avoidance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</w:tr>
      <w:tr>
        <w:trPr>
          <w:trHeight w:hRule="exact" w:val="29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provisions of this Act shall-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92" w:after="0"/>
        <w:ind w:left="203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 affect any deed or instrument lawfully executed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the date of commencement of this Act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pending registration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Registration of Documents Ordinance </w:t>
      </w:r>
      <w:r>
        <w:rPr>
          <w:rFonts w:ascii="Times" w:hAnsi="Times" w:eastAsia="Times"/>
          <w:b w:val="0"/>
          <w:i w:val="0"/>
          <w:color w:val="221F1F"/>
          <w:sz w:val="20"/>
        </w:rPr>
        <w:t>(Chapter 117);</w:t>
      </w:r>
    </w:p>
    <w:p>
      <w:pPr>
        <w:autoSpaceDN w:val="0"/>
        <w:autoSpaceDE w:val="0"/>
        <w:widowControl/>
        <w:spacing w:line="247" w:lineRule="auto" w:before="252" w:after="0"/>
        <w:ind w:left="203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 derogate from the powers of any Provincial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to levy or recover any stamp duty on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deed executed prior to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Act;</w:t>
      </w:r>
    </w:p>
    <w:p>
      <w:pPr>
        <w:autoSpaceDN w:val="0"/>
        <w:autoSpaceDE w:val="0"/>
        <w:widowControl/>
        <w:spacing w:line="247" w:lineRule="auto" w:before="252" w:after="0"/>
        <w:ind w:left="2038" w:right="278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 affect any action or suit pending before a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law or any decision of a court of law given prior to </w:t>
      </w:r>
      <w:r>
        <w:rPr>
          <w:rFonts w:ascii="Times" w:hAnsi="Times" w:eastAsia="Times"/>
          <w:b w:val="0"/>
          <w:i w:val="0"/>
          <w:color w:val="221F1F"/>
          <w:sz w:val="20"/>
        </w:rPr>
        <w:t>the date of commencement of this Act;</w:t>
      </w:r>
    </w:p>
    <w:p>
      <w:pPr>
        <w:autoSpaceDN w:val="0"/>
        <w:autoSpaceDE w:val="0"/>
        <w:widowControl/>
        <w:spacing w:line="247" w:lineRule="auto" w:before="252" w:after="0"/>
        <w:ind w:left="203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 make a notary who has commenced his practice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the date of commencement of this Act,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execute a bond in terms of section 12 of the </w:t>
      </w:r>
      <w:r>
        <w:rPr>
          <w:rFonts w:ascii="Times" w:hAnsi="Times" w:eastAsia="Times"/>
          <w:b w:val="0"/>
          <w:i w:val="0"/>
          <w:color w:val="221F1F"/>
          <w:sz w:val="20"/>
        </w:rPr>
        <w:t>principal enactment.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682" w:right="1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Notaries (Amendment) Act, No. 31 of 2022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7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46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4510"/>
        <w:gridCol w:w="4510"/>
      </w:tblGrid>
      <w:tr>
        <w:trPr>
          <w:trHeight w:hRule="exact" w:val="9390"/>
        </w:trPr>
        <w:tc>
          <w:tcPr>
            <w:tcW w:type="dxa" w:w="43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Notaries (Amendment) Act, No. 31 of 2022</w:t>
            </w:r>
          </w:p>
        </w:tc>
        <w:tc>
          <w:tcPr>
            <w:tcW w:type="dxa" w:w="187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</w:t>
            </w:r>
          </w:p>
        </w:tc>
      </w:tr>
    </w:tbl>
    <w:p>
      <w:pPr>
        <w:autoSpaceDN w:val="0"/>
        <w:autoSpaceDE w:val="0"/>
        <w:widowControl/>
        <w:spacing w:line="245" w:lineRule="auto" w:before="4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