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7" w:lineRule="auto" w:before="916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REGISTRATION OF DOCUMENTS (AMENDMENT) </w:t>
      </w:r>
      <w:r>
        <w:rPr>
          <w:rFonts w:ascii="Times,Bold" w:hAnsi="Times,Bold" w:eastAsia="Times,Bold"/>
          <w:b/>
          <w:i w:val="0"/>
          <w:color w:val="221F1F"/>
          <w:sz w:val="24"/>
        </w:rPr>
        <w:t>ACT, No. 32 OF 2022</w:t>
      </w:r>
    </w:p>
    <w:p>
      <w:pPr>
        <w:autoSpaceDN w:val="0"/>
        <w:autoSpaceDE w:val="0"/>
        <w:widowControl/>
        <w:spacing w:line="238" w:lineRule="auto" w:before="800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31st of October, 2022]</w:t>
      </w:r>
    </w:p>
    <w:p>
      <w:pPr>
        <w:autoSpaceDN w:val="0"/>
        <w:autoSpaceDE w:val="0"/>
        <w:widowControl/>
        <w:spacing w:line="238" w:lineRule="auto" w:before="37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04,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Registration of Documents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7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32 of 2022</w:t>
      </w:r>
    </w:p>
    <w:p>
      <w:pPr>
        <w:autoSpaceDN w:val="0"/>
        <w:autoSpaceDE w:val="0"/>
        <w:widowControl/>
        <w:spacing w:line="235" w:lineRule="auto" w:before="254" w:after="0"/>
        <w:ind w:left="0" w:right="37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31st of October 2022]</w:t>
      </w:r>
    </w:p>
    <w:p>
      <w:pPr>
        <w:autoSpaceDN w:val="0"/>
        <w:autoSpaceDE w:val="0"/>
        <w:widowControl/>
        <w:spacing w:line="235" w:lineRule="auto" w:before="25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2/2021</w:t>
      </w:r>
    </w:p>
    <w:p>
      <w:pPr>
        <w:autoSpaceDN w:val="0"/>
        <w:autoSpaceDE w:val="0"/>
        <w:widowControl/>
        <w:spacing w:line="245" w:lineRule="auto" w:before="254" w:after="0"/>
        <w:ind w:left="158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EGISTRATION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OCUMENTS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117)</w:t>
      </w:r>
    </w:p>
    <w:p>
      <w:pPr>
        <w:autoSpaceDN w:val="0"/>
        <w:autoSpaceDE w:val="0"/>
        <w:widowControl/>
        <w:spacing w:line="245" w:lineRule="auto" w:before="25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1696" w:val="left"/>
          <w:tab w:pos="6478" w:val="left"/>
        </w:tabs>
        <w:autoSpaceDE w:val="0"/>
        <w:widowControl/>
        <w:spacing w:line="245" w:lineRule="auto" w:before="254" w:after="194"/>
        <w:ind w:left="145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Registration of Documents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32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32 of the Registration of Documents Ordinance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84"/>
        </w:trPr>
        <w:tc>
          <w:tcPr>
            <w:tcW w:type="dxa" w:w="5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117) (hereinafter referred to as the “principal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32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117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follows:-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56" w:val="left"/>
        </w:tabs>
        <w:autoSpaceDE w:val="0"/>
        <w:widowControl/>
        <w:spacing w:line="245" w:lineRule="auto" w:before="112" w:after="0"/>
        <w:ind w:left="16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by the repeal of subsection (1) thereof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 -</w:t>
      </w:r>
    </w:p>
    <w:p>
      <w:pPr>
        <w:autoSpaceDN w:val="0"/>
        <w:tabs>
          <w:tab w:pos="2776" w:val="left"/>
        </w:tabs>
        <w:autoSpaceDE w:val="0"/>
        <w:widowControl/>
        <w:spacing w:line="245" w:lineRule="auto" w:before="174" w:after="0"/>
        <w:ind w:left="20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 person (hereinafter referred to as the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“caveator”) who</w:t>
      </w:r>
    </w:p>
    <w:p>
      <w:pPr>
        <w:autoSpaceDN w:val="0"/>
        <w:autoSpaceDE w:val="0"/>
        <w:widowControl/>
        <w:spacing w:line="238" w:lineRule="auto" w:before="252" w:after="0"/>
        <w:ind w:left="0" w:right="33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has a right, title or interest; or</w:t>
      </w:r>
    </w:p>
    <w:p>
      <w:pPr>
        <w:autoSpaceDN w:val="0"/>
        <w:autoSpaceDE w:val="0"/>
        <w:widowControl/>
        <w:spacing w:line="235" w:lineRule="auto" w:before="174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claims to have a right, title or interest,</w:t>
      </w:r>
    </w:p>
    <w:p>
      <w:pPr>
        <w:autoSpaceDN w:val="0"/>
        <w:autoSpaceDE w:val="0"/>
        <w:widowControl/>
        <w:spacing w:line="250" w:lineRule="auto" w:before="172" w:after="0"/>
        <w:ind w:left="27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a land, an undivided land, a land parcel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condominium parcel (hereinafter in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referred to as the “land”) may present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registration a caveat substantially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 VIII of the Second Schedule hereto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requiring him to be served a notice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presentation for registration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instrument affecting such land.</w:t>
      </w:r>
    </w:p>
    <w:p>
      <w:pPr>
        <w:autoSpaceDN w:val="0"/>
        <w:autoSpaceDE w:val="0"/>
        <w:widowControl/>
        <w:spacing w:line="238" w:lineRule="auto" w:before="174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Every caveat presented for registration shall–</w:t>
      </w:r>
    </w:p>
    <w:p>
      <w:pPr>
        <w:autoSpaceDN w:val="0"/>
        <w:autoSpaceDE w:val="0"/>
        <w:widowControl/>
        <w:spacing w:line="247" w:lineRule="auto" w:before="174" w:after="0"/>
        <w:ind w:left="3178" w:right="2762" w:hanging="2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be in duplicate and accompanied by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affidavit of the caveator together with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certificate issued by an Attorney-at-law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  <w:tab w:pos="4388" w:val="left"/>
        </w:tabs>
        <w:autoSpaceDE w:val="0"/>
        <w:widowControl/>
        <w:spacing w:line="245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Registration of Documents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32 of 2022</w:t>
      </w:r>
    </w:p>
    <w:p>
      <w:pPr>
        <w:autoSpaceDN w:val="0"/>
        <w:autoSpaceDE w:val="0"/>
        <w:widowControl/>
        <w:spacing w:line="245" w:lineRule="auto" w:before="244" w:after="0"/>
        <w:ind w:left="450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substantiating the right, title or interest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land or claims to a right, title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interest in the land of the caveator;</w:t>
      </w:r>
    </w:p>
    <w:p>
      <w:pPr>
        <w:autoSpaceDN w:val="0"/>
        <w:autoSpaceDE w:val="0"/>
        <w:widowControl/>
        <w:spacing w:line="245" w:lineRule="auto" w:before="230" w:after="0"/>
        <w:ind w:left="4504" w:right="1436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 be accompanied by such number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copies of the notice set out in Form 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Second Schedule hereto together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stamped envelopes, to be served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owners of the land whose names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addresses are given in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volume and folio in which such land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registered, where the caveator is not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owner;</w:t>
      </w:r>
    </w:p>
    <w:p>
      <w:pPr>
        <w:autoSpaceDN w:val="0"/>
        <w:autoSpaceDE w:val="0"/>
        <w:widowControl/>
        <w:spacing w:line="245" w:lineRule="auto" w:before="230" w:after="0"/>
        <w:ind w:left="4504" w:right="1436" w:hanging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be accompanied by a certified copy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original of the Power of Attorney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duly registered with the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the Registrar of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Registry or the Registrar of Title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in this section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“Registrar”) where the caveator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holder of a Power of Attorney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in this section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the “attorney”); and</w:t>
      </w:r>
    </w:p>
    <w:p>
      <w:pPr>
        <w:autoSpaceDN w:val="0"/>
        <w:autoSpaceDE w:val="0"/>
        <w:widowControl/>
        <w:spacing w:line="245" w:lineRule="auto" w:before="230" w:after="0"/>
        <w:ind w:left="4504" w:right="1436" w:hanging="38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contain the name, signature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Identity Card number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passport number or the driving licence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and address  of the caveator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at which notices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caveat shall be served,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caveat, the names and addresses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persons to whom the notice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caveat shall be sent where the caveator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the owner, the right, title or interest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land claimed by the caveator,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in support of the claim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of the land, including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boundaries, indicating the correct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volume and folio in which such land,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registered.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2" w:val="left"/>
          <w:tab w:pos="6134" w:val="left"/>
        </w:tabs>
        <w:autoSpaceDE w:val="0"/>
        <w:widowControl/>
        <w:spacing w:line="245" w:lineRule="auto" w:before="0" w:after="0"/>
        <w:ind w:left="2190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Documents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32 of 2022</w:t>
      </w:r>
    </w:p>
    <w:p>
      <w:pPr>
        <w:autoSpaceDN w:val="0"/>
        <w:autoSpaceDE w:val="0"/>
        <w:widowControl/>
        <w:spacing w:line="235" w:lineRule="auto" w:before="254" w:after="0"/>
        <w:ind w:left="0" w:right="38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 of this section-</w:t>
      </w:r>
    </w:p>
    <w:p>
      <w:pPr>
        <w:autoSpaceDN w:val="0"/>
        <w:autoSpaceDE w:val="0"/>
        <w:widowControl/>
        <w:spacing w:line="245" w:lineRule="auto" w:before="244" w:after="0"/>
        <w:ind w:left="2996" w:right="2782" w:hanging="3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“caveator” includes a body of persons,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beneficiary under any trust affecting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land, the lawful guardian or the next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friend of a minor or of a person of unsound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mind or mentally deficient person,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of a person, a judgement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creditor, an executor or an administrator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estate of a deceased, or a legal heir,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 intended purchaser who has entered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an agreement with the owner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land or a developer of a land;</w:t>
      </w:r>
    </w:p>
    <w:p>
      <w:pPr>
        <w:autoSpaceDN w:val="0"/>
        <w:autoSpaceDE w:val="0"/>
        <w:widowControl/>
        <w:spacing w:line="245" w:lineRule="auto" w:before="242" w:after="0"/>
        <w:ind w:left="2996" w:right="2782" w:hanging="3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“condominium parcel” means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condominium parcel registered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Title Act, No.21 of 1998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section 10 of the Apartment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Ownership Law, No.11 of 1973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 under this Ordinance; and</w:t>
      </w:r>
    </w:p>
    <w:p>
      <w:pPr>
        <w:autoSpaceDN w:val="0"/>
        <w:autoSpaceDE w:val="0"/>
        <w:widowControl/>
        <w:spacing w:line="245" w:lineRule="auto" w:before="240" w:after="0"/>
        <w:ind w:left="2996" w:right="2782" w:hanging="4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“interest” includes an interest arising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unregistered deed or instrument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a land which is incapable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 registration, a trust,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inheritance either by testate or intestate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instruments relating to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mortgage or an agreement to sell, co-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ownership, an ownership arising from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condominium parcel or the estate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minor, or of a person of unsound mind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mentally deficient person.”;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40" w:after="0"/>
        <w:ind w:left="16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insertion, immediately after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subsections: -</w:t>
      </w:r>
    </w:p>
    <w:p>
      <w:pPr>
        <w:autoSpaceDN w:val="0"/>
        <w:autoSpaceDE w:val="0"/>
        <w:widowControl/>
        <w:spacing w:line="245" w:lineRule="auto" w:before="242" w:after="0"/>
        <w:ind w:left="2638" w:right="278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Registrar, on being satisfied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required documents and information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provided by the caveator, shall acknowledge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  <w:tab w:pos="4388" w:val="left"/>
        </w:tabs>
        <w:autoSpaceDE w:val="0"/>
        <w:widowControl/>
        <w:spacing w:line="245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Registration of Documents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32 of 2022</w:t>
      </w:r>
    </w:p>
    <w:p>
      <w:pPr>
        <w:autoSpaceDN w:val="0"/>
        <w:autoSpaceDE w:val="0"/>
        <w:widowControl/>
        <w:spacing w:line="245" w:lineRule="auto" w:before="248" w:after="0"/>
        <w:ind w:left="4024" w:right="142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receipt of such caveat and record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particulars referred to in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(1) of section 27.</w:t>
      </w:r>
    </w:p>
    <w:p>
      <w:pPr>
        <w:autoSpaceDN w:val="0"/>
        <w:autoSpaceDE w:val="0"/>
        <w:widowControl/>
        <w:spacing w:line="245" w:lineRule="auto" w:before="240" w:after="0"/>
        <w:ind w:left="4024" w:right="1426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the acknowledgement,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shall forthwith notify the persons,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 names and addresses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furnished by the caveator under subparagraph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(iv)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and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endorsement in the Remark Column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inserting the date and the names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to whom and the addresses to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notices referred to in subparagraph (ii)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subsection (1) were sent.”;</w:t>
      </w:r>
    </w:p>
    <w:p>
      <w:pPr>
        <w:autoSpaceDN w:val="0"/>
        <w:tabs>
          <w:tab w:pos="3424" w:val="left"/>
        </w:tabs>
        <w:autoSpaceDE w:val="0"/>
        <w:widowControl/>
        <w:spacing w:line="245" w:lineRule="auto" w:before="242" w:after="0"/>
        <w:ind w:left="30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repeal of subsection (3) thereof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 -</w:t>
      </w:r>
    </w:p>
    <w:p>
      <w:pPr>
        <w:autoSpaceDN w:val="0"/>
        <w:tabs>
          <w:tab w:pos="4224" w:val="left"/>
        </w:tabs>
        <w:autoSpaceDE w:val="0"/>
        <w:widowControl/>
        <w:spacing w:line="245" w:lineRule="auto" w:before="240" w:after="0"/>
        <w:ind w:left="402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A caveat shall be in force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maximum period of two years.”;</w:t>
      </w:r>
    </w:p>
    <w:p>
      <w:pPr>
        <w:autoSpaceDN w:val="0"/>
        <w:autoSpaceDE w:val="0"/>
        <w:widowControl/>
        <w:spacing w:line="245" w:lineRule="auto" w:before="242" w:after="0"/>
        <w:ind w:left="3424" w:right="142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 subsection (4) thereof, by the substitution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“The notice to be given to the caveator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 the prescribed form”, of the words and figures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“Where an instrument affecting the same land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described in the caveat has been subsequently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presented for registration, a notice shall be given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caveator in Form XI of the Second Schedule </w:t>
      </w:r>
      <w:r>
        <w:rPr>
          <w:rFonts w:ascii="Times" w:hAnsi="Times" w:eastAsia="Times"/>
          <w:b w:val="0"/>
          <w:i w:val="0"/>
          <w:color w:val="221F1F"/>
          <w:sz w:val="20"/>
        </w:rPr>
        <w:t>hereto”;</w:t>
      </w:r>
    </w:p>
    <w:p>
      <w:pPr>
        <w:autoSpaceDN w:val="0"/>
        <w:autoSpaceDE w:val="0"/>
        <w:widowControl/>
        <w:spacing w:line="245" w:lineRule="auto" w:before="240" w:after="180"/>
        <w:ind w:left="3424" w:right="142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subsection (5) thereof, by the substitution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 competent court within thirty days” of the </w:t>
      </w:r>
      <w:r>
        <w:rPr>
          <w:rFonts w:ascii="Times" w:hAnsi="Times" w:eastAsia="Times"/>
          <w:b w:val="0"/>
          <w:i w:val="0"/>
          <w:color w:val="221F1F"/>
          <w:sz w:val="20"/>
        </w:rPr>
        <w:t>words “a competent court within sixty days”.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33 of the principal enactment is hereby</w:t>
            </w:r>
          </w:p>
        </w:tc>
      </w:tr>
      <w:tr>
        <w:trPr>
          <w:trHeight w:hRule="exact" w:val="70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362" w:lineRule="auto" w:before="6" w:after="0"/>
              <w:ind w:left="16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thereof, by the substitution for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312" w:right="14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“seizure priority notice, caveat, 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lis pendens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  words “seizure priority notice 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lis pendens</w:t>
      </w:r>
      <w:r>
        <w:rPr>
          <w:rFonts w:ascii="Times" w:hAnsi="Times" w:eastAsia="Times"/>
          <w:b w:val="0"/>
          <w:i w:val="0"/>
          <w:color w:val="221F1F"/>
          <w:sz w:val="20"/>
        </w:rPr>
        <w:t>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2" w:val="left"/>
          <w:tab w:pos="6134" w:val="left"/>
        </w:tabs>
        <w:autoSpaceDE w:val="0"/>
        <w:widowControl/>
        <w:spacing w:line="245" w:lineRule="auto" w:before="0" w:after="0"/>
        <w:ind w:left="2190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Documents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32 of 2022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0"/>
        <w:ind w:left="16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addition immediately after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 -</w:t>
      </w:r>
    </w:p>
    <w:p>
      <w:pPr>
        <w:autoSpaceDN w:val="0"/>
        <w:autoSpaceDE w:val="0"/>
        <w:widowControl/>
        <w:spacing w:line="245" w:lineRule="auto" w:before="240" w:after="0"/>
        <w:ind w:left="3058" w:right="278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caveat may be withdrawn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cancelled, as the case may be,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request in writing -</w:t>
      </w:r>
    </w:p>
    <w:p>
      <w:pPr>
        <w:autoSpaceDN w:val="0"/>
        <w:autoSpaceDE w:val="0"/>
        <w:widowControl/>
        <w:spacing w:line="238" w:lineRule="auto" w:before="240" w:after="0"/>
        <w:ind w:left="0" w:right="41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by the caveator;</w:t>
      </w:r>
    </w:p>
    <w:p>
      <w:pPr>
        <w:autoSpaceDN w:val="0"/>
        <w:autoSpaceDE w:val="0"/>
        <w:widowControl/>
        <w:spacing w:line="238" w:lineRule="auto" w:before="240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by an attorney;</w:t>
      </w:r>
    </w:p>
    <w:p>
      <w:pPr>
        <w:autoSpaceDN w:val="0"/>
        <w:autoSpaceDE w:val="0"/>
        <w:widowControl/>
        <w:spacing w:line="245" w:lineRule="auto" w:before="240" w:after="0"/>
        <w:ind w:left="3596" w:right="2782" w:hanging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upon the death of a caveator,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executor, administrator,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legal heir;</w:t>
      </w:r>
    </w:p>
    <w:p>
      <w:pPr>
        <w:autoSpaceDN w:val="0"/>
        <w:autoSpaceDE w:val="0"/>
        <w:widowControl/>
        <w:spacing w:line="245" w:lineRule="auto" w:before="240" w:after="0"/>
        <w:ind w:left="3596" w:right="2782" w:hanging="38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by the guardian or next friend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minor of a person of unsound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mind or mentally deficient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whose interest the caveat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lodged, on the death or removal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guardian, by the successor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the minor upon the minor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attaining the age of majority;</w:t>
      </w:r>
    </w:p>
    <w:p>
      <w:pPr>
        <w:autoSpaceDN w:val="0"/>
        <w:autoSpaceDE w:val="0"/>
        <w:widowControl/>
        <w:spacing w:line="245" w:lineRule="auto" w:before="242" w:after="0"/>
        <w:ind w:left="3596" w:right="2782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where there are joint caveators,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upon the death of one or more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them, by the surviving caveator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caveators;</w:t>
      </w:r>
    </w:p>
    <w:p>
      <w:pPr>
        <w:autoSpaceDN w:val="0"/>
        <w:autoSpaceDE w:val="0"/>
        <w:widowControl/>
        <w:spacing w:line="245" w:lineRule="auto" w:before="240" w:after="0"/>
        <w:ind w:left="3596" w:right="2782" w:hanging="38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where the caveator is adjudicated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bankrupt, by the Official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Assignee;</w:t>
      </w:r>
    </w:p>
    <w:p>
      <w:pPr>
        <w:autoSpaceDN w:val="0"/>
        <w:autoSpaceDE w:val="0"/>
        <w:widowControl/>
        <w:spacing w:line="245" w:lineRule="auto" w:before="240" w:after="0"/>
        <w:ind w:left="3596" w:right="2782" w:hanging="44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where the caveator is a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is in liquidation,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estate or interest claimed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caveator has become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vested in the liquidator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court,  by the liquidator or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Official Receiver;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  <w:tab w:pos="4388" w:val="left"/>
        </w:tabs>
        <w:autoSpaceDE w:val="0"/>
        <w:widowControl/>
        <w:spacing w:line="245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6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Registration of Documents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32 of 2022</w:t>
      </w:r>
    </w:p>
    <w:p>
      <w:pPr>
        <w:autoSpaceDN w:val="0"/>
        <w:autoSpaceDE w:val="0"/>
        <w:widowControl/>
        <w:spacing w:line="245" w:lineRule="auto" w:before="242" w:after="0"/>
        <w:ind w:left="4984" w:right="1426" w:hanging="50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where an order has been issued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competent court on an estate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the subject of a caveat,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Fiscal officer,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receiving the rights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order.</w:t>
      </w:r>
    </w:p>
    <w:p>
      <w:pPr>
        <w:autoSpaceDN w:val="0"/>
        <w:autoSpaceDE w:val="0"/>
        <w:widowControl/>
        <w:spacing w:line="245" w:lineRule="auto" w:before="220" w:after="0"/>
        <w:ind w:left="4444" w:right="1428" w:firstLine="2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 receipt of the instrument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withdrawal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hereof,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Registrar shall–</w:t>
      </w:r>
    </w:p>
    <w:p>
      <w:pPr>
        <w:autoSpaceDN w:val="0"/>
        <w:autoSpaceDE w:val="0"/>
        <w:widowControl/>
        <w:spacing w:line="245" w:lineRule="auto" w:before="222" w:after="0"/>
        <w:ind w:left="4984" w:right="1426" w:hanging="29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cancel the entry of the caveat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register in the aforesaid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and setting out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and</w:t>
      </w:r>
    </w:p>
    <w:p>
      <w:pPr>
        <w:autoSpaceDN w:val="0"/>
        <w:autoSpaceDE w:val="0"/>
        <w:widowControl/>
        <w:spacing w:line="245" w:lineRule="auto" w:before="220" w:after="0"/>
        <w:ind w:left="4984" w:right="1426" w:hanging="35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notify the persons or body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persons, whose right, title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for registration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was affected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caveat.”;</w:t>
      </w:r>
    </w:p>
    <w:p>
      <w:pPr>
        <w:autoSpaceDN w:val="0"/>
        <w:tabs>
          <w:tab w:pos="3424" w:val="left"/>
        </w:tabs>
        <w:autoSpaceDE w:val="0"/>
        <w:widowControl/>
        <w:spacing w:line="245" w:lineRule="auto" w:before="218" w:after="0"/>
        <w:ind w:left="30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insertion, immediately after subsection 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 -</w:t>
      </w:r>
    </w:p>
    <w:p>
      <w:pPr>
        <w:autoSpaceDN w:val="0"/>
        <w:autoSpaceDE w:val="0"/>
        <w:widowControl/>
        <w:spacing w:line="245" w:lineRule="auto" w:before="218" w:after="0"/>
        <w:ind w:left="4264" w:right="1426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Notwithstanding anything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any other written law,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summons, notice, decree nisi or order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any proceeding under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a caveat, shall be served to the address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caveator in Sri Lanka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sub-paragraph (iv)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32.”;</w:t>
      </w:r>
    </w:p>
    <w:p>
      <w:pPr>
        <w:autoSpaceDN w:val="0"/>
        <w:tabs>
          <w:tab w:pos="3424" w:val="left"/>
        </w:tabs>
        <w:autoSpaceDE w:val="0"/>
        <w:widowControl/>
        <w:spacing w:line="245" w:lineRule="auto" w:before="218" w:after="0"/>
        <w:ind w:left="30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by the addition, immediately after subsection 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subsection:–</w:t>
      </w:r>
    </w:p>
    <w:p>
      <w:pPr>
        <w:autoSpaceDN w:val="0"/>
        <w:autoSpaceDE w:val="0"/>
        <w:widowControl/>
        <w:spacing w:line="245" w:lineRule="auto" w:before="218" w:after="0"/>
        <w:ind w:left="4264" w:right="1426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The Registrar shall not register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caveat of the same caveator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land or same iterest in the land,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which registration of caveat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was cancelled under subsection (3).”.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2" w:val="left"/>
          <w:tab w:pos="6134" w:val="left"/>
        </w:tabs>
        <w:autoSpaceDE w:val="0"/>
        <w:widowControl/>
        <w:spacing w:line="245" w:lineRule="auto" w:before="0" w:after="194"/>
        <w:ind w:left="2190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Documents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32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50 of the principal enactment is hereby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16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4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words, “require, but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 may be altered or added to by regulation”,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“require.”.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Second Schedule to the principal enactment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2" w:val="left"/>
                <w:tab w:pos="1338" w:val="left"/>
              </w:tabs>
              <w:autoSpaceDE w:val="0"/>
              <w:widowControl/>
              <w:spacing w:line="329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by the repeal of Form VIII thereof, and the substitution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therefor, of the following new Form:–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5198" w:val="left"/>
        </w:tabs>
        <w:autoSpaceDE w:val="0"/>
        <w:widowControl/>
        <w:spacing w:line="245" w:lineRule="auto" w:before="436" w:after="0"/>
        <w:ind w:left="33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“FORM VIII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32(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8" w:lineRule="auto" w:before="202" w:after="0"/>
        <w:ind w:left="0" w:right="4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FORM OF THE CAVEAT</w:t>
      </w:r>
    </w:p>
    <w:p>
      <w:pPr>
        <w:autoSpaceDN w:val="0"/>
        <w:autoSpaceDE w:val="0"/>
        <w:widowControl/>
        <w:spacing w:line="247" w:lineRule="auto" w:before="202" w:after="0"/>
        <w:ind w:left="2038" w:right="278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Take notice that, I, ............. (full name and the address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caveator) bearing (NIC/passport/ driving licence)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no…………….. require to be served with notice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presentation for registration of any instrument affecting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land…….. (owned by me / owned by other- specify the right/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title/ or interest) referred to in the Schedule hereto.</w:t>
      </w:r>
    </w:p>
    <w:p>
      <w:pPr>
        <w:autoSpaceDN w:val="0"/>
        <w:autoSpaceDE w:val="0"/>
        <w:widowControl/>
        <w:spacing w:line="247" w:lineRule="auto" w:before="202" w:after="0"/>
        <w:ind w:left="2038" w:right="278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further declare that I present this caveat in my behalf/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behalf of …………….…….. (where the caveator is not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owner) on the following ground/s.</w:t>
      </w:r>
    </w:p>
    <w:p>
      <w:pPr>
        <w:autoSpaceDN w:val="0"/>
        <w:autoSpaceDE w:val="0"/>
        <w:widowControl/>
        <w:spacing w:line="247" w:lineRule="auto" w:before="202" w:after="0"/>
        <w:ind w:left="2038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Title under deed no…………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Under the last will of…………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Other (specify) ………………………………………….</w:t>
      </w:r>
    </w:p>
    <w:p>
      <w:pPr>
        <w:autoSpaceDN w:val="0"/>
        <w:tabs>
          <w:tab w:pos="2198" w:val="left"/>
        </w:tabs>
        <w:autoSpaceDE w:val="0"/>
        <w:widowControl/>
        <w:spacing w:line="245" w:lineRule="auto" w:before="202" w:after="0"/>
        <w:ind w:left="20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appoint (the address in Sri Lanka) as the place at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which notices relating hereto shall be sent.</w:t>
      </w:r>
    </w:p>
    <w:p>
      <w:pPr>
        <w:autoSpaceDN w:val="0"/>
        <w:autoSpaceDE w:val="0"/>
        <w:widowControl/>
        <w:spacing w:line="238" w:lineRule="auto" w:before="152" w:after="0"/>
        <w:ind w:left="0" w:right="34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………………………..</w:t>
      </w:r>
    </w:p>
    <w:p>
      <w:pPr>
        <w:autoSpaceDN w:val="0"/>
        <w:autoSpaceDE w:val="0"/>
        <w:widowControl/>
        <w:spacing w:line="245" w:lineRule="auto" w:before="150" w:after="0"/>
        <w:ind w:left="3456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(Signature of the caveator/his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Attorney-at-Law or notary/attorney)</w:t>
      </w:r>
    </w:p>
    <w:p>
      <w:pPr>
        <w:autoSpaceDN w:val="0"/>
        <w:autoSpaceDE w:val="0"/>
        <w:widowControl/>
        <w:spacing w:line="238" w:lineRule="auto" w:before="15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Date</w:t>
      </w:r>
    </w:p>
    <w:p>
      <w:pPr>
        <w:autoSpaceDN w:val="0"/>
        <w:autoSpaceDE w:val="0"/>
        <w:widowControl/>
        <w:spacing w:line="245" w:lineRule="auto" w:before="152" w:after="0"/>
        <w:ind w:left="20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Signed by the above-named………….. in the presence of (full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name and address of the two witnesses)</w:t>
      </w:r>
    </w:p>
    <w:p>
      <w:pPr>
        <w:autoSpaceDN w:val="0"/>
        <w:autoSpaceDE w:val="0"/>
        <w:widowControl/>
        <w:spacing w:line="245" w:lineRule="auto" w:before="150" w:after="0"/>
        <w:ind w:left="2038" w:right="460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Signature of the first witness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2. Signature of the second witness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  <w:tab w:pos="4388" w:val="left"/>
        </w:tabs>
        <w:autoSpaceDE w:val="0"/>
        <w:widowControl/>
        <w:spacing w:line="245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8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Registration of Documents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32 of 2022</w:t>
      </w:r>
    </w:p>
    <w:p>
      <w:pPr>
        <w:autoSpaceDN w:val="0"/>
        <w:autoSpaceDE w:val="0"/>
        <w:widowControl/>
        <w:spacing w:line="235" w:lineRule="auto" w:before="264" w:after="0"/>
        <w:ind w:left="0" w:right="31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</w:t>
      </w:r>
    </w:p>
    <w:p>
      <w:pPr>
        <w:autoSpaceDN w:val="0"/>
        <w:autoSpaceDE w:val="0"/>
        <w:widowControl/>
        <w:spacing w:line="250" w:lineRule="auto" w:before="218" w:after="0"/>
        <w:ind w:left="4176" w:right="216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(describe land as in section 13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previous registration, if known)”; and</w:t>
      </w:r>
    </w:p>
    <w:p>
      <w:pPr>
        <w:autoSpaceDN w:val="0"/>
        <w:tabs>
          <w:tab w:pos="3424" w:val="left"/>
        </w:tabs>
        <w:autoSpaceDE w:val="0"/>
        <w:widowControl/>
        <w:spacing w:line="245" w:lineRule="auto" w:before="182" w:after="0"/>
        <w:ind w:left="30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insertion immediately after Form IX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Schedule, of the following new Forms: -</w:t>
      </w:r>
    </w:p>
    <w:p>
      <w:pPr>
        <w:autoSpaceDN w:val="0"/>
        <w:autoSpaceDE w:val="0"/>
        <w:widowControl/>
        <w:spacing w:line="238" w:lineRule="auto" w:before="208" w:after="0"/>
        <w:ind w:left="0" w:right="31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“FORM X</w:t>
      </w:r>
    </w:p>
    <w:p>
      <w:pPr>
        <w:autoSpaceDN w:val="0"/>
        <w:autoSpaceDE w:val="0"/>
        <w:widowControl/>
        <w:spacing w:line="235" w:lineRule="auto" w:before="140" w:after="0"/>
        <w:ind w:left="0" w:right="1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32(1)(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)(ii)]</w:t>
      </w:r>
    </w:p>
    <w:p>
      <w:pPr>
        <w:autoSpaceDN w:val="0"/>
        <w:autoSpaceDE w:val="0"/>
        <w:widowControl/>
        <w:spacing w:line="252" w:lineRule="auto" w:before="138" w:after="0"/>
        <w:ind w:left="345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NOTICE TO AN OWNER OF A PROPERTY IN RESPECT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 CAVEAT HAS BEEN LODGED</w:t>
      </w:r>
    </w:p>
    <w:p>
      <w:pPr>
        <w:autoSpaceDN w:val="0"/>
        <w:autoSpaceDE w:val="0"/>
        <w:widowControl/>
        <w:spacing w:line="250" w:lineRule="auto" w:before="218" w:after="8"/>
        <w:ind w:left="3312" w:right="14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Take notice that a caveat has been lodged by ……… of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 in respect of the property named……. bearing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0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assessment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no………………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15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folio…………. of volume ………….. at this land registry.</w:t>
      </w:r>
    </w:p>
    <w:p>
      <w:pPr>
        <w:autoSpaceDN w:val="0"/>
        <w:autoSpaceDE w:val="0"/>
        <w:widowControl/>
        <w:spacing w:line="238" w:lineRule="auto" w:before="218" w:after="0"/>
        <w:ind w:left="0" w:right="2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(signature)</w:t>
      </w:r>
    </w:p>
    <w:p>
      <w:pPr>
        <w:autoSpaceDN w:val="0"/>
        <w:autoSpaceDE w:val="0"/>
        <w:widowControl/>
        <w:spacing w:line="235" w:lineRule="auto" w:before="218" w:after="0"/>
        <w:ind w:left="0" w:right="22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……………….</w:t>
      </w:r>
    </w:p>
    <w:p>
      <w:pPr>
        <w:autoSpaceDN w:val="0"/>
        <w:autoSpaceDE w:val="0"/>
        <w:widowControl/>
        <w:spacing w:line="250" w:lineRule="auto" w:before="20" w:after="0"/>
        <w:ind w:left="570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Registrar of Lands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of……………..</w:t>
      </w:r>
    </w:p>
    <w:p>
      <w:pPr>
        <w:autoSpaceDN w:val="0"/>
        <w:autoSpaceDE w:val="0"/>
        <w:widowControl/>
        <w:spacing w:line="238" w:lineRule="auto" w:before="218" w:after="0"/>
        <w:ind w:left="0" w:right="41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Date :.......................</w:t>
      </w:r>
    </w:p>
    <w:p>
      <w:pPr>
        <w:autoSpaceDN w:val="0"/>
        <w:autoSpaceDE w:val="0"/>
        <w:widowControl/>
        <w:spacing w:line="238" w:lineRule="auto" w:before="418" w:after="0"/>
        <w:ind w:left="0" w:right="32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FORM XI</w:t>
      </w:r>
    </w:p>
    <w:p>
      <w:pPr>
        <w:autoSpaceDN w:val="0"/>
        <w:autoSpaceDE w:val="0"/>
        <w:widowControl/>
        <w:spacing w:line="238" w:lineRule="auto" w:before="118" w:after="0"/>
        <w:ind w:left="0" w:right="14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32(4)]</w:t>
      </w:r>
    </w:p>
    <w:p>
      <w:pPr>
        <w:autoSpaceDN w:val="0"/>
        <w:autoSpaceDE w:val="0"/>
        <w:widowControl/>
        <w:spacing w:line="247" w:lineRule="auto" w:before="138" w:after="0"/>
        <w:ind w:left="345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NOTICE TO THE CAVEATOR OF AN INSTRUMENT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PENDING REGISTRATION</w:t>
      </w:r>
    </w:p>
    <w:p>
      <w:pPr>
        <w:autoSpaceDN w:val="0"/>
        <w:autoSpaceDE w:val="0"/>
        <w:widowControl/>
        <w:spacing w:line="254" w:lineRule="auto" w:before="220" w:after="0"/>
        <w:ind w:left="3424" w:right="142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You are hereby notified that the instrument specified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Schedule hereto is pending registration in volume………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folio……….. of  ……………. at this Land Registry, as opposed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to caveat No……… dated………….. submitted by you.</w:t>
      </w:r>
    </w:p>
    <w:p>
      <w:pPr>
        <w:autoSpaceDN w:val="0"/>
        <w:autoSpaceDE w:val="0"/>
        <w:widowControl/>
        <w:spacing w:line="238" w:lineRule="auto" w:before="168" w:after="0"/>
        <w:ind w:left="0" w:right="2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(signature)</w:t>
      </w:r>
    </w:p>
    <w:p>
      <w:pPr>
        <w:autoSpaceDN w:val="0"/>
        <w:autoSpaceDE w:val="0"/>
        <w:widowControl/>
        <w:spacing w:line="235" w:lineRule="auto" w:before="220" w:after="0"/>
        <w:ind w:left="0" w:right="22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……………….</w:t>
      </w:r>
    </w:p>
    <w:p>
      <w:pPr>
        <w:autoSpaceDN w:val="0"/>
        <w:autoSpaceDE w:val="0"/>
        <w:widowControl/>
        <w:spacing w:line="247" w:lineRule="auto" w:before="18" w:after="0"/>
        <w:ind w:left="570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Registrar of Lands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of……………..</w:t>
      </w:r>
    </w:p>
    <w:p>
      <w:pPr>
        <w:autoSpaceDN w:val="0"/>
        <w:autoSpaceDE w:val="0"/>
        <w:widowControl/>
        <w:spacing w:line="238" w:lineRule="auto" w:before="174" w:after="0"/>
        <w:ind w:left="0" w:right="41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Date :.......................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1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Documents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5" w:lineRule="auto" w:before="14" w:after="210"/>
        <w:ind w:left="0" w:right="437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32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80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62.0" w:type="dxa"/>
            </w:tblPr>
            <w:tblGrid>
              <w:gridCol w:w="1128"/>
              <w:gridCol w:w="1128"/>
              <w:gridCol w:w="1128"/>
              <w:gridCol w:w="1128"/>
              <w:gridCol w:w="1128"/>
            </w:tblGrid>
            <w:tr>
              <w:trPr>
                <w:trHeight w:hRule="exact" w:val="1180"/>
              </w:trPr>
              <w:tc>
                <w:tcPr>
                  <w:tcW w:type="dxa" w:w="60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8" w:after="0"/>
                    <w:ind w:left="1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No.</w:t>
                  </w:r>
                </w:p>
              </w:tc>
              <w:tc>
                <w:tcPr>
                  <w:tcW w:type="dxa" w:w="1058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58" w:after="0"/>
                    <w:ind w:left="13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Nature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deed/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instrument</w:t>
                  </w:r>
                </w:p>
              </w:tc>
              <w:tc>
                <w:tcPr>
                  <w:tcW w:type="dxa" w:w="1002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58" w:after="0"/>
                    <w:ind w:left="58" w:right="0" w:hanging="58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 Name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Notary who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attested the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deed/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instrument</w:t>
                  </w:r>
                </w:p>
              </w:tc>
              <w:tc>
                <w:tcPr>
                  <w:tcW w:type="dxa" w:w="97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58" w:after="0"/>
                    <w:ind w:left="12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Description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the Land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(as per the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Schedule)</w:t>
                  </w:r>
                </w:p>
              </w:tc>
              <w:tc>
                <w:tcPr>
                  <w:tcW w:type="dxa" w:w="52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 Parties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60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5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6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.”.</w:t>
            </w:r>
          </w:p>
          <w:p>
            <w:pPr>
              <w:autoSpaceDN w:val="0"/>
              <w:autoSpaceDE w:val="0"/>
              <w:widowControl/>
              <w:spacing w:line="247" w:lineRule="auto" w:before="42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44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Registration of Documents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32 of 2022</w:t>
      </w:r>
    </w:p>
    <w:p>
      <w:pPr>
        <w:autoSpaceDN w:val="0"/>
        <w:autoSpaceDE w:val="0"/>
        <w:widowControl/>
        <w:spacing w:line="245" w:lineRule="auto" w:before="923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