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84" w:after="0"/>
        <w:ind w:left="1584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CHILDREN AND YOUNG PERSONS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(AMENDMENT) </w:t>
      </w:r>
      <w:r>
        <w:rPr>
          <w:rFonts w:ascii="Times" w:hAnsi="Times" w:eastAsia="Times"/>
          <w:b/>
          <w:i w:val="0"/>
          <w:color w:val="000000"/>
          <w:sz w:val="24"/>
        </w:rPr>
        <w:t>ACT, No. 39 OF 2022</w:t>
      </w:r>
    </w:p>
    <w:p>
      <w:pPr>
        <w:autoSpaceDN w:val="0"/>
        <w:autoSpaceDE w:val="0"/>
        <w:widowControl/>
        <w:spacing w:line="238" w:lineRule="auto" w:before="942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38" w:lineRule="auto" w:before="226" w:after="0"/>
        <w:ind w:left="0" w:right="3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37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26/2019</w:t>
      </w:r>
    </w:p>
    <w:p>
      <w:pPr>
        <w:autoSpaceDN w:val="0"/>
        <w:autoSpaceDE w:val="0"/>
        <w:widowControl/>
        <w:spacing w:line="245" w:lineRule="auto" w:before="150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OUNG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23)</w:t>
      </w:r>
    </w:p>
    <w:p>
      <w:pPr>
        <w:autoSpaceDN w:val="0"/>
        <w:autoSpaceDE w:val="0"/>
        <w:widowControl/>
        <w:spacing w:line="245" w:lineRule="auto" w:before="150" w:after="9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Children and Young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(Amendment) Act, No. 39 of 2022.</w:t>
            </w:r>
          </w:p>
          <w:p>
            <w:pPr>
              <w:autoSpaceDN w:val="0"/>
              <w:autoSpaceDE w:val="0"/>
              <w:widowControl/>
              <w:spacing w:line="245" w:lineRule="auto" w:before="15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provisions of this Act other than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come into operation on such date as the Minister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appoint.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45" w:lineRule="auto" w:before="8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Different dates may be appointed for bringing into </w:t>
      </w:r>
      <w:r>
        <w:rPr>
          <w:rFonts w:ascii="Times" w:hAnsi="Times" w:eastAsia="Times"/>
          <w:b w:val="0"/>
          <w:i w:val="0"/>
          <w:color w:val="221F1F"/>
          <w:sz w:val="20"/>
        </w:rPr>
        <w:t>operation of different provisions of this Act.</w:t>
      </w:r>
    </w:p>
    <w:p>
      <w:pPr>
        <w:autoSpaceDN w:val="0"/>
        <w:autoSpaceDE w:val="0"/>
        <w:widowControl/>
        <w:spacing w:line="245" w:lineRule="auto" w:before="148" w:after="8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on which this Bill becomes an Act of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330" w:val="left"/>
              </w:tabs>
              <w:autoSpaceDE w:val="0"/>
              <w:widowControl/>
              <w:spacing w:line="245" w:lineRule="auto" w:before="6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In the Children and Young Persons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23)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there shall be substituted–</w:t>
            </w:r>
          </w:p>
          <w:p>
            <w:pPr>
              <w:autoSpaceDN w:val="0"/>
              <w:autoSpaceDE w:val="0"/>
              <w:widowControl/>
              <w:spacing w:line="245" w:lineRule="auto" w:before="150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 the words “Children and Young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Ordinance”, the words “Children’s Ordinance”;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Chapter 23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written law &amp;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</w:tbl>
    <w:p>
      <w:pPr>
        <w:autoSpaceDN w:val="0"/>
        <w:tabs>
          <w:tab w:pos="2056" w:val="left"/>
        </w:tabs>
        <w:autoSpaceDE w:val="0"/>
        <w:widowControl/>
        <w:spacing w:line="245" w:lineRule="auto" w:before="90" w:after="0"/>
        <w:ind w:left="171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words “children and young persons”,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“children”;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150" w:after="0"/>
        <w:ind w:left="172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words “child or young person”,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“child”; and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150" w:after="0"/>
        <w:ind w:left="1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“age of sixteen years”, the words “age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eighteen years”,</w:t>
      </w:r>
    </w:p>
    <w:p>
      <w:pPr>
        <w:autoSpaceDN w:val="0"/>
        <w:autoSpaceDE w:val="0"/>
        <w:widowControl/>
        <w:spacing w:line="238" w:lineRule="auto" w:before="15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wherever such words appear in the principal enactment.</w:t>
      </w:r>
    </w:p>
    <w:p>
      <w:pPr>
        <w:autoSpaceDN w:val="0"/>
        <w:autoSpaceDE w:val="0"/>
        <w:widowControl/>
        <w:spacing w:line="245" w:lineRule="auto" w:before="14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any other written law, there shall be substituted for </w:t>
      </w:r>
      <w:r>
        <w:rPr>
          <w:rFonts w:ascii="Times" w:hAnsi="Times" w:eastAsia="Times"/>
          <w:b w:val="0"/>
          <w:i w:val="0"/>
          <w:color w:val="221F1F"/>
          <w:sz w:val="20"/>
        </w:rPr>
        <w:t>the words “Children and Young Persons Ordinance”,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“children and young persons” and “child or young person”,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“Children’s Ordinance”, “children” and “child”,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respectively, wherever those words occur in relation to the</w:t>
      </w:r>
    </w:p>
    <w:p>
      <w:pPr>
        <w:autoSpaceDN w:val="0"/>
        <w:autoSpaceDE w:val="0"/>
        <w:widowControl/>
        <w:spacing w:line="235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6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50" w:lineRule="auto" w:before="232" w:after="19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reference to “Children and Young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Ordinance”, “children and young persons”, “child or young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person” and “age of sixteen years” in any regulation or rule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the principal enactment or notice, notification,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principal enactment shall be read and construed as a </w:t>
      </w:r>
      <w:r>
        <w:rPr>
          <w:rFonts w:ascii="Times" w:hAnsi="Times" w:eastAsia="Times"/>
          <w:b w:val="0"/>
          <w:i w:val="0"/>
          <w:color w:val="221F1F"/>
          <w:sz w:val="20"/>
        </w:rPr>
        <w:t>reference respectively, to “Children’s Ordinance”,</w:t>
      </w:r>
      <w:r>
        <w:rPr>
          <w:rFonts w:ascii="Times" w:hAnsi="Times" w:eastAsia="Times"/>
          <w:b w:val="0"/>
          <w:i w:val="0"/>
          <w:color w:val="221F1F"/>
          <w:sz w:val="20"/>
        </w:rPr>
        <w:t>“children”, “child” and “age of eighteen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</w:tr>
      <w:tr>
        <w:trPr>
          <w:trHeight w:hRule="exact" w:val="78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" w:val="left"/>
              </w:tabs>
              <w:autoSpaceDE w:val="0"/>
              <w:widowControl/>
              <w:spacing w:line="367" w:lineRule="auto" w:before="20" w:after="0"/>
              <w:ind w:left="18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(3) of that section; and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(4) of that section-</w:t>
      </w:r>
    </w:p>
    <w:p>
      <w:pPr>
        <w:autoSpaceDN w:val="0"/>
        <w:autoSpaceDE w:val="0"/>
        <w:widowControl/>
        <w:spacing w:line="247" w:lineRule="auto" w:before="254" w:after="0"/>
        <w:ind w:left="386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words “Where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person is brought”, of the words “Where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child who is above the age of fourteen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brought”; and</w:t>
      </w:r>
    </w:p>
    <w:p>
      <w:pPr>
        <w:autoSpaceDN w:val="0"/>
        <w:autoSpaceDE w:val="0"/>
        <w:widowControl/>
        <w:spacing w:line="245" w:lineRule="auto" w:before="254" w:after="182"/>
        <w:ind w:left="386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words “the young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person”, of the words “such child”, wherever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words appear in that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marginal note to that section,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“children and young offenders”,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 “children”.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</w:tr>
      <w:tr>
        <w:trPr>
          <w:trHeight w:hRule="exact" w:val="7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353" w:lineRule="auto" w:before="4" w:after="0"/>
              <w:ind w:left="144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of that section-</w:t>
            </w:r>
          </w:p>
        </w:tc>
      </w:tr>
    </w:tbl>
    <w:p>
      <w:pPr>
        <w:autoSpaceDN w:val="0"/>
        <w:tabs>
          <w:tab w:pos="3864" w:val="left"/>
        </w:tabs>
        <w:autoSpaceDE w:val="0"/>
        <w:widowControl/>
        <w:spacing w:line="245" w:lineRule="auto" w:before="162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“in due course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law:” of the words “in due course.”; and</w:t>
      </w:r>
    </w:p>
    <w:p>
      <w:pPr>
        <w:autoSpaceDN w:val="0"/>
        <w:tabs>
          <w:tab w:pos="3864" w:val="left"/>
        </w:tabs>
        <w:autoSpaceDE w:val="0"/>
        <w:widowControl/>
        <w:spacing w:line="245" w:lineRule="auto" w:before="222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proviso to that subsection;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108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47" w:lineRule="auto" w:before="232" w:after="194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“in the case of a young person”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young person may be committed to prison.”,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“in the case of a child who is above the 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years” and “such child who is above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sixteen years shall be placed in a remand </w:t>
      </w:r>
      <w:r>
        <w:rPr>
          <w:rFonts w:ascii="Times" w:hAnsi="Times" w:eastAsia="Times"/>
          <w:b w:val="0"/>
          <w:i w:val="0"/>
          <w:color w:val="221F1F"/>
          <w:sz w:val="20"/>
        </w:rPr>
        <w:t>home”,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sub-heading appearing immediately before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sub-heading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 II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22 of Part II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sub-heading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0" w:after="194"/>
        <w:ind w:left="0" w:right="41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“CHILD  OFFENDERS”.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23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“Restrictions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23. (1) A child shall not be ordered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34"/>
        </w:trPr>
        <w:tc>
          <w:tcPr>
            <w:tcW w:type="dxa" w:w="17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 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punishment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children.</w:t>
            </w:r>
          </w:p>
        </w:tc>
        <w:tc>
          <w:tcPr>
            <w:tcW w:type="dxa" w:w="3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imprisoned for any offence or be committed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prison in default of payment of a fine.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6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child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sixteen years or above,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probation officer is of the opinion that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 is so unruly a character and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 in a remand home or certified school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if such child is of so depraved a character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child is not a fit person to be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detained, the court shall direct the probation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to cause a psychological assessment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of such child by the medical experts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report to court.</w:t>
      </w:r>
    </w:p>
    <w:p>
      <w:pPr>
        <w:autoSpaceDN w:val="0"/>
        <w:autoSpaceDE w:val="0"/>
        <w:widowControl/>
        <w:spacing w:line="247" w:lineRule="auto" w:before="254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report of a psychological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referred to in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confirms that the child is not fit to be detained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remand home, the court shall order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child to be detained in a training school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6" w:val="left"/>
          <w:tab w:pos="4408" w:val="left"/>
        </w:tabs>
        <w:autoSpaceDE w:val="0"/>
        <w:widowControl/>
        <w:spacing w:line="254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47" w:lineRule="auto" w:before="232" w:after="194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youthful offenders, notwithstanding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relating to age and the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specified in the Youthful Offenders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(Training Schools) Ordinance (Chapter 25).”.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367" w:lineRule="auto" w:before="20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of that section and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1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50" w:lineRule="auto" w:before="254" w:after="0"/>
        <w:ind w:left="3864" w:right="1436" w:hanging="4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Where in lieu of sentence of death, a sentence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detention has been passed by any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53 of the Penal Code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person who is under the age of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at the time of the commission of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person, the court may order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detained in a remand home for such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sentence.”; and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54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subsection (3) of that section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47" w:lineRule="auto" w:before="254" w:after="194"/>
        <w:ind w:left="3864" w:right="1436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A person detained pursuant to an order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court under section 53 of the Penal Code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referred to in subsection (1) or a direction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Minister under subsection (2)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so detained be deemed to be in legal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custody.”.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367" w:lineRule="auto" w:before="20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3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all the words from “may be specified in the order,”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words “exceeding one month.”,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words:-</w:t>
      </w:r>
    </w:p>
    <w:p>
      <w:pPr>
        <w:autoSpaceDN w:val="0"/>
        <w:autoSpaceDE w:val="0"/>
        <w:widowControl/>
        <w:spacing w:line="235" w:lineRule="auto" w:before="254" w:after="0"/>
        <w:ind w:left="0" w:right="2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“may be specified in the Order: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108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47" w:lineRule="auto" w:before="232" w:after="0"/>
        <w:ind w:left="2036" w:right="278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case of a child who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sixteen years or above,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and (3) of section 23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and in relation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child.”; and</w:t>
      </w:r>
    </w:p>
    <w:p>
      <w:pPr>
        <w:autoSpaceDN w:val="0"/>
        <w:autoSpaceDE w:val="0"/>
        <w:widowControl/>
        <w:spacing w:line="247" w:lineRule="auto" w:before="254" w:after="194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</w:tabs>
              <w:autoSpaceDE w:val="0"/>
              <w:widowControl/>
              <w:spacing w:line="367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0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“a child who has attained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twelve years or a young person”, of the words “a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child who has attained the age of twelve years”;</w:t>
      </w:r>
    </w:p>
    <w:p>
      <w:pPr>
        <w:autoSpaceDN w:val="0"/>
        <w:autoSpaceDE w:val="0"/>
        <w:widowControl/>
        <w:spacing w:line="247" w:lineRule="auto" w:before="254" w:after="0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28(1).”; and</w:t>
      </w:r>
    </w:p>
    <w:p>
      <w:pPr>
        <w:autoSpaceDN w:val="0"/>
        <w:autoSpaceDE w:val="0"/>
        <w:widowControl/>
        <w:spacing w:line="245" w:lineRule="auto" w:before="254" w:after="194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substitution, in the marginal note to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“a child or young offender” of </w:t>
      </w:r>
      <w:r>
        <w:rPr>
          <w:rFonts w:ascii="Times" w:hAnsi="Times" w:eastAsia="Times"/>
          <w:b w:val="0"/>
          <w:i w:val="0"/>
          <w:color w:val="221F1F"/>
          <w:sz w:val="20"/>
        </w:rPr>
        <w:t>the words “a child offender”.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</w:tabs>
              <w:autoSpaceDE w:val="0"/>
              <w:widowControl/>
              <w:spacing w:line="367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(2)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0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“under section 28(1)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29(1).”, of the words and figures “under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28(1).”; and</w:t>
      </w:r>
    </w:p>
    <w:p>
      <w:pPr>
        <w:autoSpaceDN w:val="0"/>
        <w:autoSpaceDE w:val="0"/>
        <w:widowControl/>
        <w:spacing w:line="245" w:lineRule="auto" w:before="254" w:after="0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the marginal note to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“child or young offender” of </w:t>
      </w:r>
      <w:r>
        <w:rPr>
          <w:rFonts w:ascii="Times" w:hAnsi="Times" w:eastAsia="Times"/>
          <w:b w:val="0"/>
          <w:i w:val="0"/>
          <w:color w:val="221F1F"/>
          <w:sz w:val="20"/>
        </w:rPr>
        <w:t>the words “child offender”.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6" w:val="left"/>
          <w:tab w:pos="4408" w:val="left"/>
        </w:tabs>
        <w:autoSpaceDE w:val="0"/>
        <w:widowControl/>
        <w:spacing w:line="254" w:lineRule="auto" w:before="0" w:after="178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principal enactment is hereby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(2) of that section.</w:t>
            </w:r>
          </w:p>
        </w:tc>
      </w:tr>
    </w:tbl>
    <w:p>
      <w:pPr>
        <w:autoSpaceDN w:val="0"/>
        <w:autoSpaceDE w:val="0"/>
        <w:widowControl/>
        <w:spacing w:line="238" w:lineRule="auto" w:before="4" w:after="398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4" w:after="14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1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and figures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“sections 25 to 29,” of the words and figures “sections 25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28,”.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1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marginal note to that section,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“child or young offender”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“child offender”.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of the principal enactment is hereby</w:t>
            </w:r>
          </w:p>
        </w:tc>
      </w:tr>
      <w:tr>
        <w:trPr>
          <w:trHeight w:hRule="exact" w:val="7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382" w:lineRule="auto" w:before="26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paragraph:-</w:t>
      </w:r>
    </w:p>
    <w:p>
      <w:pPr>
        <w:autoSpaceDN w:val="0"/>
        <w:autoSpaceDE w:val="0"/>
        <w:widowControl/>
        <w:spacing w:line="259" w:lineRule="auto" w:before="276" w:after="0"/>
        <w:ind w:left="3864" w:right="1436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child who has attained the age of sixteen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or above who has been ordered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detained in a training school for youthful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offenders and pardoned by the President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his agreeing to undergo training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 school,”;</w:t>
      </w:r>
    </w:p>
    <w:p>
      <w:pPr>
        <w:autoSpaceDN w:val="0"/>
        <w:autoSpaceDE w:val="0"/>
        <w:widowControl/>
        <w:spacing w:line="238" w:lineRule="auto" w:before="276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proviso to that section-</w:t>
      </w:r>
    </w:p>
    <w:p>
      <w:pPr>
        <w:autoSpaceDN w:val="0"/>
        <w:autoSpaceDE w:val="0"/>
        <w:widowControl/>
        <w:spacing w:line="254" w:lineRule="auto" w:before="276" w:after="0"/>
        <w:ind w:left="386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proviso, for the word “person”, of the word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“child”;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108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64" w:lineRule="auto" w:before="250" w:after="0"/>
        <w:ind w:left="251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proviso, for the words “a young person”,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“a child”; and</w:t>
      </w:r>
    </w:p>
    <w:p>
      <w:pPr>
        <w:autoSpaceDN w:val="0"/>
        <w:autoSpaceDE w:val="0"/>
        <w:widowControl/>
        <w:spacing w:line="266" w:lineRule="auto" w:before="308" w:after="248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marginal note to that section,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“children and young </w:t>
      </w:r>
      <w:r>
        <w:rPr>
          <w:rFonts w:ascii="Times" w:hAnsi="Times" w:eastAsia="Times"/>
          <w:b w:val="0"/>
          <w:i w:val="0"/>
          <w:color w:val="221F1F"/>
          <w:sz w:val="20"/>
        </w:rPr>
        <w:t>offenders”, of the words “child offenders”.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“Duration of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42. Where a court orders a child to be 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school orders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 approved or certified school,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duration of stay which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4" w:after="248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more than three years and be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for such child’s detention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or certified school,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until the expiration of such period as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order.”.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1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marginal note to that section,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“children or young persons”,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“children”.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 “age of nineteen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years:”, of the words “age of twenty one years:”.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words “not attained the age of fourteen years, until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attains the age of sixteen years.”, of the words “not attained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eighteen years, until he attains the age of twenty </w:t>
      </w:r>
      <w:r>
        <w:rPr>
          <w:rFonts w:ascii="Times" w:hAnsi="Times" w:eastAsia="Times"/>
          <w:b w:val="0"/>
          <w:i w:val="0"/>
          <w:color w:val="221F1F"/>
          <w:sz w:val="20"/>
        </w:rPr>
        <w:t>years.”.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6" w:val="left"/>
          <w:tab w:pos="4408" w:val="left"/>
        </w:tabs>
        <w:autoSpaceDE w:val="0"/>
        <w:widowControl/>
        <w:spacing w:line="254" w:lineRule="auto" w:before="0" w:after="184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51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enactment:-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“Every new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In every approved or certified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certified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school, there shall be-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school to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 primary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“primary section” in which children</w:t>
            </w:r>
          </w:p>
        </w:tc>
      </w:tr>
      <w:tr>
        <w:trPr>
          <w:trHeight w:hRule="exact" w:val="632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2" w:after="0"/>
              <w:ind w:left="6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have not attained the age of fifteen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shall be detained; and</w:t>
            </w:r>
          </w:p>
        </w:tc>
      </w:tr>
    </w:tbl>
    <w:p>
      <w:pPr>
        <w:autoSpaceDN w:val="0"/>
        <w:autoSpaceDE w:val="0"/>
        <w:widowControl/>
        <w:spacing w:line="264" w:lineRule="auto" w:before="200" w:after="0"/>
        <w:ind w:left="446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“secondary section” in which children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have attained the age of fifteen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but not attained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shall be detained.</w:t>
      </w:r>
    </w:p>
    <w:p>
      <w:pPr>
        <w:autoSpaceDN w:val="0"/>
        <w:autoSpaceDE w:val="0"/>
        <w:widowControl/>
        <w:spacing w:line="238" w:lineRule="auto" w:before="292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Where-</w:t>
      </w:r>
    </w:p>
    <w:p>
      <w:pPr>
        <w:autoSpaceDN w:val="0"/>
        <w:tabs>
          <w:tab w:pos="4822" w:val="left"/>
        </w:tabs>
        <w:autoSpaceDE w:val="0"/>
        <w:widowControl/>
        <w:spacing w:line="254" w:lineRule="auto" w:before="292" w:after="0"/>
        <w:ind w:left="44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Magistrate makes an order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26; or</w:t>
      </w:r>
    </w:p>
    <w:p>
      <w:pPr>
        <w:autoSpaceDN w:val="0"/>
        <w:tabs>
          <w:tab w:pos="4822" w:val="left"/>
        </w:tabs>
        <w:autoSpaceDE w:val="0"/>
        <w:widowControl/>
        <w:spacing w:line="254" w:lineRule="auto" w:before="294" w:after="0"/>
        <w:ind w:left="44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makes an Order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32,</w:t>
      </w:r>
    </w:p>
    <w:p>
      <w:pPr>
        <w:autoSpaceDN w:val="0"/>
        <w:autoSpaceDE w:val="0"/>
        <w:widowControl/>
        <w:spacing w:line="266" w:lineRule="auto" w:before="294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a child to an approved or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school, such order under section 26 or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32 shall, at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commitment, specify whether the child should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committed to the primary section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secondary section of such school, depending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age of the child:</w:t>
      </w:r>
    </w:p>
    <w:p>
      <w:pPr>
        <w:autoSpaceDN w:val="0"/>
        <w:autoSpaceDE w:val="0"/>
        <w:widowControl/>
        <w:spacing w:line="264" w:lineRule="auto" w:before="294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manager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shall transfer a child who is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section, to the secondary section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child reaching the age of fifteen years.”.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172"/>
        <w:ind w:left="2108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55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3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</w:tabs>
              <w:autoSpaceDE w:val="0"/>
              <w:widowControl/>
              <w:spacing w:line="367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subsection, for the words “(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if he is”,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“(i) if he is”; and</w:t>
      </w:r>
    </w:p>
    <w:p>
      <w:pPr>
        <w:autoSpaceDN w:val="0"/>
        <w:autoSpaceDE w:val="0"/>
        <w:widowControl/>
        <w:spacing w:line="245" w:lineRule="auto" w:before="254" w:after="194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substitution,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subsection, for the words 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if he has”,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“(ii) if he has”.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“the expressions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“child” and “young person” mean”, of the words “the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“child” means”.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(6) of that section.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358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72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</w:tabs>
              <w:autoSpaceDE w:val="0"/>
              <w:widowControl/>
              <w:spacing w:line="367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subsection (1)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0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the words from “of a young person”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“Penal Code,”, of the words “of a child, causes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encourages the commission in respect of such child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any offence under section 345, 360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363, 364,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364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365 or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Penal Code or any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Obscene Publications Ordinance (Chapter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30),”;</w:t>
      </w:r>
    </w:p>
    <w:p>
      <w:pPr>
        <w:autoSpaceDN w:val="0"/>
        <w:autoSpaceDE w:val="0"/>
        <w:widowControl/>
        <w:spacing w:line="247" w:lineRule="auto" w:before="254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substitution, in subsection (2)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“in respect of a child or young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female, a person shall, if he has knowingly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allowed her to consort with,” of the words “in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child, a person shall, if he has knowingly allowed </w:t>
      </w:r>
      <w:r>
        <w:rPr>
          <w:rFonts w:ascii="Times" w:hAnsi="Times" w:eastAsia="Times"/>
          <w:b w:val="0"/>
          <w:i w:val="0"/>
          <w:color w:val="221F1F"/>
          <w:sz w:val="20"/>
        </w:rPr>
        <w:t>such child to consort with,”;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56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Children and Young Persons (Amendment)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45" w:lineRule="auto" w:before="232" w:after="154"/>
        <w:ind w:left="3402" w:right="14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substitution, in the marginal note to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for the words “of girl under sixteen.”,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“of a child.”.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73 of the principal enactment is hereby</w:t>
            </w:r>
          </w:p>
        </w:tc>
      </w:tr>
      <w:tr>
        <w:trPr>
          <w:trHeight w:hRule="exact" w:val="119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  <w:tab w:pos="742" w:val="left"/>
              </w:tabs>
              <w:autoSpaceDE w:val="0"/>
              <w:widowControl/>
              <w:spacing w:line="290" w:lineRule="auto" w:before="16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substitution for all the words from “care of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child” to the words “to reside”, of the words “care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child allows that child to reside”; and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3402" w:right="14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the marginal note to that section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therefor, of the following marginal </w:t>
      </w:r>
      <w:r>
        <w:rPr>
          <w:rFonts w:ascii="Times" w:hAnsi="Times" w:eastAsia="Times"/>
          <w:b w:val="0"/>
          <w:i w:val="0"/>
          <w:color w:val="221F1F"/>
          <w:sz w:val="20"/>
        </w:rPr>
        <w:t>note: -</w:t>
      </w:r>
    </w:p>
    <w:p>
      <w:pPr>
        <w:autoSpaceDN w:val="0"/>
        <w:autoSpaceDE w:val="0"/>
        <w:widowControl/>
        <w:spacing w:line="238" w:lineRule="auto" w:before="254" w:after="0"/>
        <w:ind w:left="0" w:right="4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“Allowing children</w:t>
      </w:r>
    </w:p>
    <w:p>
      <w:pPr>
        <w:autoSpaceDN w:val="0"/>
        <w:autoSpaceDE w:val="0"/>
        <w:widowControl/>
        <w:spacing w:line="238" w:lineRule="auto" w:before="38" w:after="166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be in brothels.”.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74 of the principal enactment is hereby</w:t>
            </w:r>
          </w:p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the marginal note to that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therefor, of the following marginal note:-</w:t>
            </w:r>
          </w:p>
        </w:tc>
      </w:tr>
    </w:tbl>
    <w:p>
      <w:pPr>
        <w:autoSpaceDN w:val="0"/>
        <w:autoSpaceDE w:val="0"/>
        <w:widowControl/>
        <w:spacing w:line="238" w:lineRule="auto" w:before="96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“Causing or procuring</w:t>
      </w:r>
    </w:p>
    <w:p>
      <w:pPr>
        <w:autoSpaceDN w:val="0"/>
        <w:autoSpaceDE w:val="0"/>
        <w:widowControl/>
        <w:spacing w:line="238" w:lineRule="auto" w:before="42" w:after="166"/>
        <w:ind w:left="0" w:right="42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children to beg.”.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 of the principal enactment is hereby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4" w:after="58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80 of the principal enactment is hereby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of that section.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88 of the principal enactment is hereby</w:t>
            </w:r>
          </w:p>
        </w:tc>
      </w:tr>
      <w:tr>
        <w:trPr>
          <w:trHeight w:hRule="exact" w:val="118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  <w:tab w:pos="742" w:val="left"/>
              </w:tabs>
              <w:autoSpaceDE w:val="0"/>
              <w:widowControl/>
              <w:spacing w:line="290" w:lineRule="auto" w:before="1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the definition of the expression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“child” and the substitution therefor of the following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 -</w:t>
            </w:r>
          </w:p>
        </w:tc>
      </w:tr>
    </w:tbl>
    <w:p>
      <w:pPr>
        <w:autoSpaceDN w:val="0"/>
        <w:tabs>
          <w:tab w:pos="3882" w:val="left"/>
        </w:tabs>
        <w:autoSpaceDE w:val="0"/>
        <w:widowControl/>
        <w:spacing w:line="245" w:lineRule="auto" w:before="156" w:after="0"/>
        <w:ind w:left="34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“child” means a person under the age of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108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Children and Young Persons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45" w:lineRule="auto" w:before="232" w:after="0"/>
        <w:ind w:left="205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insertion, immediately after the definition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“scheduled offence”,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definition: -</w:t>
      </w:r>
    </w:p>
    <w:p>
      <w:pPr>
        <w:autoSpaceDN w:val="0"/>
        <w:autoSpaceDE w:val="0"/>
        <w:widowControl/>
        <w:spacing w:line="247" w:lineRule="auto" w:before="254" w:after="0"/>
        <w:ind w:left="2656" w:right="2760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“training school for youthful offenders” means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school established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Youthful Offenders (Training Schools)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25);”; and</w:t>
      </w:r>
    </w:p>
    <w:p>
      <w:pPr>
        <w:autoSpaceDN w:val="0"/>
        <w:tabs>
          <w:tab w:pos="2056" w:val="left"/>
        </w:tabs>
        <w:autoSpaceDE w:val="0"/>
        <w:widowControl/>
        <w:spacing w:line="245" w:lineRule="auto" w:before="254" w:after="194"/>
        <w:ind w:left="1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“young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4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Children and Young Persons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39 of 2022</w:t>
      </w:r>
    </w:p>
    <w:p>
      <w:pPr>
        <w:autoSpaceDN w:val="0"/>
        <w:autoSpaceDE w:val="0"/>
        <w:widowControl/>
        <w:spacing w:line="245" w:lineRule="auto" w:before="865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