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0" w:lineRule="auto" w:before="848" w:after="0"/>
        <w:ind w:left="190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JUDICATURE</w:t>
      </w:r>
      <w:r>
        <w:rPr>
          <w:rFonts w:ascii="Times" w:hAnsi="Times" w:eastAsia="Times"/>
          <w:b/>
          <w:i w:val="0"/>
          <w:color w:val="000000"/>
          <w:sz w:val="24"/>
        </w:rPr>
        <w:t>(AMENDMENT)</w:t>
      </w:r>
      <w:r>
        <w:rPr>
          <w:rFonts w:ascii="Times" w:hAnsi="Times" w:eastAsia="Times"/>
          <w:b/>
          <w:i w:val="0"/>
          <w:color w:val="000000"/>
          <w:sz w:val="24"/>
        </w:rPr>
        <w:t>ACT, No. 34 OF 2022</w:t>
      </w:r>
    </w:p>
    <w:p>
      <w:pPr>
        <w:autoSpaceDN w:val="0"/>
        <w:autoSpaceDE w:val="0"/>
        <w:widowControl/>
        <w:spacing w:line="238" w:lineRule="auto" w:before="1170" w:after="0"/>
        <w:ind w:left="0" w:right="286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 Act, No. 34 of 2022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6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8" w:lineRule="auto" w:before="21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L.D.–O. 45/2021</w:t>
      </w:r>
    </w:p>
    <w:p>
      <w:pPr>
        <w:autoSpaceDN w:val="0"/>
        <w:autoSpaceDE w:val="0"/>
        <w:widowControl/>
        <w:spacing w:line="238" w:lineRule="auto" w:before="204" w:after="0"/>
        <w:ind w:left="18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UDICATURE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</w:t>
      </w:r>
    </w:p>
    <w:p>
      <w:pPr>
        <w:autoSpaceDN w:val="0"/>
        <w:autoSpaceDE w:val="0"/>
        <w:widowControl/>
        <w:spacing w:line="245" w:lineRule="auto" w:before="204" w:after="144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Judicature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34 of 2022.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5" w:lineRule="auto" w:before="2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shall come into operation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date or dates as the Minister may appoint by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04" w:after="144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Different dates may be appointed for bringing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different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81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2 of the Judicature Act, No. 2 of 1978,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 :-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 of 1978</w:t>
            </w:r>
          </w:p>
        </w:tc>
      </w:tr>
      <w:tr>
        <w:trPr>
          <w:trHeight w:hRule="exact" w:val="33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Courts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Instance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Courts of First Instance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2255"/>
            <w:vMerge/>
            <w:tcBorders/>
          </w:tcPr>
          <w:p/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administration of justice in the Republic of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shall be-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High Court of the Republic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High Courts for the Provinces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District Courts;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Family Courts;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Small Claims Courts;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Magistrates’ Courts;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Primary Courts.”.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32" w:after="0"/>
              <w:ind w:left="682" w:right="1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 Act, No. 34 of 2022</w:t>
            </w:r>
          </w:p>
        </w:tc>
      </w:tr>
      <w:tr>
        <w:trPr>
          <w:trHeight w:hRule="exact" w:val="82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4" w:lineRule="auto" w:before="252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therefor: -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08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“District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Family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Courts, Small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Claims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Magistrates’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Primary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82" w:right="69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in each judicial district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Sri Lanka a “District Court” which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the “Family Court” when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exercising the jurisdiction vested in a Family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under this Act or any written law,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shall be deemed to be the “Small Claims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Court” when exercising the jurisdiction vested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Small Claims Court under this Act or any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388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and in every judicial division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 shall be a “Magistrate’s Court” and a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“Primary Court” and, each such Court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holden by and before a person to be called the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“District Judge”, “Judge of the Family Court”,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“Judge of the Small Claims Court”,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“Magistrate” and “Judge of the Primary Court”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respectively.</w:t>
      </w:r>
    </w:p>
    <w:p>
      <w:pPr>
        <w:autoSpaceDN w:val="0"/>
        <w:autoSpaceDE w:val="0"/>
        <w:widowControl/>
        <w:spacing w:line="264" w:lineRule="auto" w:before="294" w:after="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Each Court referred to in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held at such convenient place or places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judicial district or division,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as the Minister shall, by regulation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 appoint:</w:t>
      </w:r>
    </w:p>
    <w:p>
      <w:pPr>
        <w:autoSpaceDN w:val="0"/>
        <w:autoSpaceDE w:val="0"/>
        <w:widowControl/>
        <w:spacing w:line="264" w:lineRule="auto" w:before="294" w:after="234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nothing in this section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construed to restrict or curtail the power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possessed by every Judge to hold the Court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convenient place within his territorial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54" w:lineRule="auto" w:before="60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therefor: -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38" w:lineRule="auto" w:before="0" w:after="0"/>
        <w:ind w:left="20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Act, No. 34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498" w:val="left"/>
          <w:tab w:pos="2738" w:val="left"/>
        </w:tabs>
        <w:autoSpaceDE w:val="0"/>
        <w:widowControl/>
        <w:spacing w:line="245" w:lineRule="auto" w:before="48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The Judicial Service Commission </w:t>
      </w:r>
      <w:r>
        <w:rPr>
          <w:rFonts w:ascii="Times" w:hAnsi="Times" w:eastAsia="Times"/>
          <w:b w:val="0"/>
          <w:i w:val="0"/>
          <w:color w:val="000000"/>
          <w:sz w:val="16"/>
        </w:rPr>
        <w:t>of the Pre-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appoint a judicial officer from among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Trial Judge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Judges and Magistrates to be 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Pre-Trial Judge, to any one or more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First Instance exercising civil jurisdiction,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Judicial Service Commission is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opinion that such appointment is required.</w:t>
      </w:r>
    </w:p>
    <w:p>
      <w:pPr>
        <w:autoSpaceDN w:val="0"/>
        <w:autoSpaceDE w:val="0"/>
        <w:widowControl/>
        <w:spacing w:line="245" w:lineRule="auto" w:before="240" w:after="182"/>
        <w:ind w:left="249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Pre-Trial Judge shall attend to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deal with pre-trial conferences as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Civil Procedure Code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101) and post-trial matters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Judicial Service Commission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arisen in the course of a civil proceeding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in the Court to which he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subsection (1) thereof and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therefor, of the following: 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108" w:after="176"/>
        <w:ind w:left="2018" w:right="2782" w:firstLine="2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All District Judges, Judges of the Family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Courts, Judges of the Small Claims Courts,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Magistrates and Judges of the Primary Courts and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Additional Judges and Additional Magistrates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Courts shall be appointed to their offices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Judicial Service Commission.”.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736" w:right="102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subsections (1) and (2)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0"/>
        <w:ind w:left="2018" w:right="278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Judicial Service Commission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as many additional District Judges,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Judges of the Family Court,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Judges of the Small Claims Court,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Magistrates or Additional Judges of the Primary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same District Court, Family Court, Small Claims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Magistrate’s Court, and Primary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respectively as the occasion may require.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2" w:val="left"/>
        </w:tabs>
        <w:autoSpaceDE w:val="0"/>
        <w:widowControl/>
        <w:spacing w:line="238" w:lineRule="auto" w:before="0" w:after="0"/>
        <w:ind w:left="2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 Act, No. 34 of 2022</w:t>
      </w:r>
    </w:p>
    <w:p>
      <w:pPr>
        <w:autoSpaceDN w:val="0"/>
        <w:autoSpaceDE w:val="0"/>
        <w:widowControl/>
        <w:spacing w:line="274" w:lineRule="auto" w:before="508" w:after="242"/>
        <w:ind w:left="3382" w:right="14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Every Additional District Judge,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of the Family Court, Additional Judge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Court, Additional Magistrate,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Judge of the Primary Court  appointed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Court, shall sit separately and exercise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 and the jurisdiction vested in the District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Family Court, Small Claims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and Primary Court, respectively,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district or division, as the case may be,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Additional District Judge,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of the Family Court, Additional Judge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Court, Additional Magistrate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Judge of the Primary Court, is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0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4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substitution for the words “the High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may”, of the words and figures “the High Court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Republic of Sri Lanka or the High Court for the Province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42"/>
        <w:ind w:left="0" w:right="1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may”.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7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57" w:lineRule="auto" w:before="60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</w:tr>
    </w:tbl>
    <w:p>
      <w:pPr>
        <w:autoSpaceDN w:val="0"/>
        <w:tabs>
          <w:tab w:pos="2802" w:val="left"/>
          <w:tab w:pos="3042" w:val="left"/>
        </w:tabs>
        <w:autoSpaceDE w:val="0"/>
        <w:widowControl/>
        <w:spacing w:line="266" w:lineRule="auto" w:before="6" w:after="0"/>
        <w:ind w:left="13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“by a High Court-”, of the words and figures “by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of the Republic of Sri Lanka or a  High Court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”; and</w:t>
      </w:r>
    </w:p>
    <w:p>
      <w:pPr>
        <w:autoSpaceDN w:val="0"/>
        <w:autoSpaceDE w:val="0"/>
        <w:widowControl/>
        <w:spacing w:line="269" w:lineRule="auto" w:before="30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by the substitution for the </w:t>
      </w:r>
      <w:r>
        <w:rPr>
          <w:rFonts w:ascii="Times" w:hAnsi="Times" w:eastAsia="Times"/>
          <w:b w:val="0"/>
          <w:i w:val="0"/>
          <w:color w:val="000000"/>
          <w:sz w:val="20"/>
        </w:rPr>
        <w:t>words “order of the High Court.”, of the words and figures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“order of the High Court of the Republic of Sri Lanka or the </w:t>
      </w:r>
      <w:r>
        <w:rPr>
          <w:rFonts w:ascii="Times" w:hAnsi="Times" w:eastAsia="Times"/>
          <w:b w:val="0"/>
          <w:i w:val="0"/>
          <w:color w:val="000000"/>
          <w:sz w:val="20"/>
        </w:rPr>
        <w:t>High Court for the 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 Act, No. 34 of 2022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14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280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thereof by the substitution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“of the High Court”, of the words and figures “of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0" w:lineRule="auto" w:before="36" w:after="318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High Court of the Republic of Sri Lanka or the High </w:t>
      </w:r>
      <w:r>
        <w:rPr>
          <w:rFonts w:ascii="Times" w:hAnsi="Times" w:eastAsia="Times"/>
          <w:b w:val="0"/>
          <w:i w:val="0"/>
          <w:color w:val="000000"/>
          <w:sz w:val="20"/>
        </w:rPr>
        <w:t>Court for the 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19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78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“Jurisdiction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District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70" w:after="0"/>
              <w:ind w:left="9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District Court shall be a court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 and shall within its district have</w:t>
            </w:r>
          </w:p>
        </w:tc>
      </w:tr>
    </w:tbl>
    <w:p>
      <w:pPr>
        <w:autoSpaceDN w:val="0"/>
        <w:autoSpaceDE w:val="0"/>
        <w:widowControl/>
        <w:spacing w:line="310" w:lineRule="auto" w:before="24" w:after="318"/>
        <w:ind w:left="251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unlimited original jurisdiction in all civil,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revenue, trust, insolvency and testamentary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matters, save and except such of the aforesaid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matters as are by or under Chapter V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by virtue of the provisions of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 exclusively assigned by way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original jurisdiction to any other court or vested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authority and in the exercise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jurisdiction to impose fines, penalties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forfeitures and shall, in like manner also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over the persons and estates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of unsound mind and wards, over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estates of </w:t>
      </w:r>
      <w:r>
        <w:rPr>
          <w:rFonts w:ascii="Times" w:hAnsi="Times" w:eastAsia="Times"/>
          <w:b w:val="0"/>
          <w:i/>
          <w:color w:val="000000"/>
          <w:sz w:val="20"/>
        </w:rPr>
        <w:t>cestuis que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trust and over guardians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trustees and in any other matter in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is given to District Court by law.”.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76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1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23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 Act, No. 34 of 2022</w:t>
            </w:r>
          </w:p>
        </w:tc>
      </w:tr>
      <w:tr>
        <w:trPr>
          <w:trHeight w:hRule="exact" w:val="81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66" w:lineRule="auto" w:before="266" w:after="0"/>
              <w:ind w:left="14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47" w:lineRule="auto" w:before="4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in subsection (1) thereof, by the substitution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“the Court of Appeal”, of the words and figures “the </w:t>
      </w:r>
      <w:r>
        <w:rPr>
          <w:rFonts w:ascii="Times" w:hAnsi="Times" w:eastAsia="Times"/>
          <w:b w:val="0"/>
          <w:i w:val="0"/>
          <w:color w:val="000000"/>
          <w:sz w:val="20"/>
        </w:rPr>
        <w:t>High Court for the 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Constitution”; and</w:t>
      </w:r>
    </w:p>
    <w:p>
      <w:pPr>
        <w:autoSpaceDN w:val="0"/>
        <w:autoSpaceDE w:val="0"/>
        <w:widowControl/>
        <w:spacing w:line="247" w:lineRule="auto" w:before="254" w:after="18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subsection (2) thereof, by the substitution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“to the Court of Appeal” and “of the Court of Appeal”,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respectively, of the words and figures “to the High Court for </w:t>
      </w:r>
      <w:r>
        <w:rPr>
          <w:rFonts w:ascii="Times" w:hAnsi="Times" w:eastAsia="Times"/>
          <w:b w:val="0"/>
          <w:i w:val="0"/>
          <w:color w:val="000000"/>
          <w:sz w:val="20"/>
        </w:rPr>
        <w:t>the 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“of the High Court for the Province established by Article </w:t>
      </w:r>
      <w:r>
        <w:rPr>
          <w:rFonts w:ascii="Times" w:hAnsi="Times" w:eastAsia="Times"/>
          <w:b w:val="0"/>
          <w:i w:val="0"/>
          <w:color w:val="000000"/>
          <w:sz w:val="20"/>
        </w:rPr>
        <w:t>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Chapter V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2" w:right="576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Chapter V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Chapter is substituted therefor: -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5" w:lineRule="auto" w:before="212" w:after="0"/>
        <w:ind w:left="0" w:right="3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</w:t>
      </w:r>
    </w:p>
    <w:p>
      <w:pPr>
        <w:autoSpaceDN w:val="0"/>
        <w:autoSpaceDE w:val="0"/>
        <w:widowControl/>
        <w:spacing w:line="235" w:lineRule="auto" w:before="254" w:after="194"/>
        <w:ind w:left="0" w:right="3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AMILY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4" w:right="13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Jurisdiction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District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24. (1) Every Family Court shall be a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record and shall have sole original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in respect of matrimonial disputes,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actions for divorce, nullity and separation,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damages for adultery, claims for alimony,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disputes between spouses, parents and children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to matrimonial property, custody of minor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children, dependants’ claims, guardianship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curatorship matters, claims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of legitimacy and, illegitimacy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marriage, adoption and applications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of birth registration entries, claims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seduction and breach of promise of marriage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other matters provided for by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38" w:lineRule="auto" w:before="0" w:after="0"/>
        <w:ind w:left="20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Act, No. 34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492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anything in the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subsection shall not affect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Kandyan Marriage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Divorce Act (Chapter 113) and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Muslim Marriage and Divorce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(Chapter 115).</w:t>
      </w:r>
    </w:p>
    <w:p>
      <w:pPr>
        <w:autoSpaceDN w:val="0"/>
        <w:autoSpaceDE w:val="0"/>
        <w:widowControl/>
        <w:spacing w:line="259" w:lineRule="auto" w:before="254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Family Court shall also have sole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exclusive jurisdiction in respect of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specified in subsection (1) and where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reference is made to any court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matters in any of the enactments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the Third Schedule hereto, it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deemed to be a reference to a Family Court:</w:t>
      </w:r>
    </w:p>
    <w:p>
      <w:pPr>
        <w:autoSpaceDN w:val="0"/>
        <w:autoSpaceDE w:val="0"/>
        <w:widowControl/>
        <w:spacing w:line="264" w:lineRule="auto" w:before="294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this subsection shall have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any offences alleged to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committed in violation of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any such enactment.</w:t>
      </w:r>
    </w:p>
    <w:p>
      <w:pPr>
        <w:autoSpaceDN w:val="0"/>
        <w:autoSpaceDE w:val="0"/>
        <w:widowControl/>
        <w:spacing w:line="269" w:lineRule="auto" w:before="290" w:after="234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for the custody of a minor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or of the spouse of any marriage alleged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kept in wrongful or illegal custody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parent or by the other spouse or guardian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relative of such minor child or spouse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heard and determined by the Family Court;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Court shall have full power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make such orders both interim and final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justice of the case shall require.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minors,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charge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18" w:right="138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25. The jurisdiction and powers of District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Courts under section 20 as regards the care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custody of persons of unsound mind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mentally deficient persons and the charge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448" w:right="2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property shall, in like manner and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same powers be exercised by a Family Court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2" w:val="left"/>
        </w:tabs>
        <w:autoSpaceDE w:val="0"/>
        <w:widowControl/>
        <w:spacing w:line="238" w:lineRule="auto" w:before="0" w:after="0"/>
        <w:ind w:left="2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 Act, No. 34 of 2022</w:t>
      </w:r>
    </w:p>
    <w:p>
      <w:pPr>
        <w:autoSpaceDN w:val="0"/>
        <w:autoSpaceDE w:val="0"/>
        <w:widowControl/>
        <w:spacing w:line="247" w:lineRule="auto" w:before="492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regards the care of the persons of minors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wards and the charge of their property and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 to the charge of the property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of minors and wards who are not 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Sri Lanka.</w:t>
      </w:r>
    </w:p>
    <w:p>
      <w:pPr>
        <w:autoSpaceDN w:val="0"/>
        <w:tabs>
          <w:tab w:pos="3862" w:val="left"/>
          <w:tab w:pos="4102" w:val="left"/>
        </w:tabs>
        <w:autoSpaceDE w:val="0"/>
        <w:widowControl/>
        <w:spacing w:line="245" w:lineRule="auto" w:before="254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Family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26. (1) There shall be for every judicial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Counsellor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district an officer who shall be called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“Family Counsellor”.</w:t>
      </w:r>
    </w:p>
    <w:p>
      <w:pPr>
        <w:autoSpaceDN w:val="0"/>
        <w:autoSpaceDE w:val="0"/>
        <w:widowControl/>
        <w:spacing w:line="250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dispute in any action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matter within the jurisdiction of a Family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or any application for maintenance,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comes up for inquiry or trial before a District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Judge, Judge of the Family Court or Magistrate,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such District Judge, Judge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Family Court or Magistrate shall, unless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party to the action expresses in writing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desire to the contrary, refer such dispute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Family Counsellor, who shall-</w:t>
      </w:r>
    </w:p>
    <w:p>
      <w:pPr>
        <w:autoSpaceDN w:val="0"/>
        <w:tabs>
          <w:tab w:pos="4942" w:val="left"/>
        </w:tabs>
        <w:autoSpaceDE w:val="0"/>
        <w:widowControl/>
        <w:spacing w:line="245" w:lineRule="auto" w:before="254" w:after="0"/>
        <w:ind w:left="44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every effort to induce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 to settle such dispute; and</w:t>
      </w:r>
    </w:p>
    <w:p>
      <w:pPr>
        <w:autoSpaceDN w:val="0"/>
        <w:tabs>
          <w:tab w:pos="4942" w:val="left"/>
        </w:tabs>
        <w:autoSpaceDE w:val="0"/>
        <w:widowControl/>
        <w:spacing w:line="247" w:lineRule="auto" w:before="254" w:after="0"/>
        <w:ind w:left="44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his report thereon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Judge, Judge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 or Magistrate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within such time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specified by such District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Judge, Judge of the Family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Magistrate.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dispute is settled, the terms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settlement shall be entered, signed by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to the dispute and the Family Counsellor,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 forwarded to the District Judge, Judge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Family Court or Magistrate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who shall enter such terms of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a decree of such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38" w:lineRule="auto" w:before="0" w:after="0"/>
        <w:ind w:left="20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Act, No. 34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52" w:lineRule="auto" w:before="494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Family Counsellor is not 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settle any dispute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he shall refer such dispute to the District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Judge, Judge of the Family Court or Magistrate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determination after inquiry or trial.</w:t>
      </w:r>
    </w:p>
    <w:p>
      <w:pPr>
        <w:autoSpaceDN w:val="0"/>
        <w:autoSpaceDE w:val="0"/>
        <w:widowControl/>
        <w:spacing w:line="252" w:lineRule="auto" w:before="26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District Judge, Judge of a Family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or Magistrate shall hold any inquiry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in respect of any dispute, until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dispute is referred to him by the Family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Counsellor under subsection (4).</w:t>
      </w:r>
    </w:p>
    <w:p>
      <w:pPr>
        <w:autoSpaceDN w:val="0"/>
        <w:tabs>
          <w:tab w:pos="2536" w:val="left"/>
          <w:tab w:pos="2776" w:val="left"/>
        </w:tabs>
        <w:autoSpaceDE w:val="0"/>
        <w:widowControl/>
        <w:spacing w:line="257" w:lineRule="auto" w:before="254" w:after="20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27. A person who is dissatisfied with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judgment, decree or order pronounced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 after inquiry or trial may,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any law, regulation or rule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the manner and procedure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from the District Court, prefer an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therefrom to the High Court for the Province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any error in law or in fact.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Family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another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consolidation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96" w:right="13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28. (1) In the event of two or more separate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proceedings or actions being instituted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the same or substantially the same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family dispute in more than one Family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party to such proceedings or actions may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apply, or any Judge of such Family Court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said proceedings or actions had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may refer the matter, to the Court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which shall, in the exercise of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as it may deem fit, transfer one or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proceedings or actions to one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Courts, in which proceedings or actions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already been instituted by the said parties;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that, all such disputes may be conveniently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expeditiously heard and determined in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Family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2" w:val="left"/>
        </w:tabs>
        <w:autoSpaceDE w:val="0"/>
        <w:widowControl/>
        <w:spacing w:line="238" w:lineRule="auto" w:before="0" w:after="0"/>
        <w:ind w:left="2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 Act, No. 34 of 2022</w:t>
      </w:r>
    </w:p>
    <w:p>
      <w:pPr>
        <w:autoSpaceDN w:val="0"/>
        <w:autoSpaceDE w:val="0"/>
        <w:widowControl/>
        <w:spacing w:line="247" w:lineRule="auto" w:before="488" w:after="188"/>
        <w:ind w:left="3844" w:right="14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event of there being two or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or actions instituted or pending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same Family Court as between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or relating to substantially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matter, it shall be competent for the said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direct that such proceedings or actions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into a single proceeding, if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of the said Court it is convenient to do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or it be so necessary in the interest of justice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expeditious disposal of such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dispute. The Court may, in such an event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such order or deliver such judgment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such decree from time to time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exigencies and justice of the case may require.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768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Procedure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Family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29. (1) All proceedings in a Family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instituted and conducted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expeditiously as possible in accordance with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0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regulations as may be prescribed:</w:t>
      </w:r>
    </w:p>
    <w:p>
      <w:pPr>
        <w:autoSpaceDN w:val="0"/>
        <w:autoSpaceDE w:val="0"/>
        <w:widowControl/>
        <w:spacing w:line="245" w:lineRule="auto" w:before="250" w:after="0"/>
        <w:ind w:left="3844" w:right="145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until such regulations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so prescribed, the Family Court shall,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far as practicable, follow the provisions relating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summary procedure in the Civil Procedure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Code (Chapter 101).</w:t>
      </w:r>
    </w:p>
    <w:p>
      <w:pPr>
        <w:autoSpaceDN w:val="0"/>
        <w:autoSpaceDE w:val="0"/>
        <w:widowControl/>
        <w:spacing w:line="247" w:lineRule="auto" w:before="250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the Adoption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Children Ordinance (Chapter 61) governing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institution and conducting of proceedings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said Ordinance shall be deemed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such proceedings that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instituted in the Family Court.</w:t>
      </w:r>
    </w:p>
    <w:p>
      <w:pPr>
        <w:autoSpaceDN w:val="0"/>
        <w:autoSpaceDE w:val="0"/>
        <w:widowControl/>
        <w:spacing w:line="250" w:lineRule="auto" w:before="250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applications for the care and custody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minor children shall take precedence 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other matters in every Family Court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unless exceptional circumstances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warrant, be heard from day to day to ensure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expeditious disposal of the same.”.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 Act, No. 34 of 2022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52" w:after="0"/>
              <w:ind w:left="718" w:right="14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Chapter V of the principal enactment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Chapter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360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</w:p>
    <w:p>
      <w:pPr>
        <w:autoSpaceDN w:val="0"/>
        <w:autoSpaceDE w:val="0"/>
        <w:widowControl/>
        <w:spacing w:line="238" w:lineRule="auto" w:before="292" w:after="238"/>
        <w:ind w:left="0" w:right="3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LAIMS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5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Jurisdiction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Small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Claims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38" w:right="138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Every Small Claims Court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court of record and shall have exclusive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original civil jurisdiction and shall have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2498" w:right="28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cognizance of and full power to hear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all actions specified in the Seventh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hereto:</w:t>
      </w:r>
    </w:p>
    <w:p>
      <w:pPr>
        <w:autoSpaceDN w:val="0"/>
        <w:autoSpaceDE w:val="0"/>
        <w:widowControl/>
        <w:spacing w:line="276" w:lineRule="auto" w:before="314" w:after="0"/>
        <w:ind w:left="2498" w:right="280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no jurisdiction or power to hear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any action filed under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Chapter LIII of the Civil Procedure Code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101) or action for the recovery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to which special provisions are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any other written law.</w:t>
      </w:r>
    </w:p>
    <w:p>
      <w:pPr>
        <w:autoSpaceDN w:val="0"/>
        <w:autoSpaceDE w:val="0"/>
        <w:widowControl/>
        <w:spacing w:line="274" w:lineRule="auto" w:before="314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actions specified in the Seventh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shall not exceed a sum of rupees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and five hundred thousand excluding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interest, or such other amount as may be fixed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from time to time, by an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71" w:lineRule="auto" w:before="312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Order made under subsection (2)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have effect, until it is approved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and notification of such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2" w:val="left"/>
        </w:tabs>
        <w:autoSpaceDE w:val="0"/>
        <w:widowControl/>
        <w:spacing w:line="238" w:lineRule="auto" w:before="0" w:after="0"/>
        <w:ind w:left="2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 Act, No. 34 of 2022</w:t>
      </w:r>
    </w:p>
    <w:p>
      <w:pPr>
        <w:autoSpaceDN w:val="0"/>
        <w:tabs>
          <w:tab w:pos="3844" w:val="left"/>
          <w:tab w:pos="4084" w:val="left"/>
        </w:tabs>
        <w:autoSpaceDE w:val="0"/>
        <w:widowControl/>
        <w:spacing w:line="245" w:lineRule="auto" w:before="494" w:after="0"/>
        <w:ind w:left="278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29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proceedings before any Small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Small Claims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Claims Court may be taken by the special</w:t>
      </w:r>
    </w:p>
    <w:p>
      <w:pPr>
        <w:autoSpaceDN w:val="0"/>
        <w:tabs>
          <w:tab w:pos="3844" w:val="left"/>
        </w:tabs>
        <w:autoSpaceDE w:val="0"/>
        <w:widowControl/>
        <w:spacing w:line="259" w:lineRule="auto" w:before="0" w:after="232"/>
        <w:ind w:left="278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for Small Claims Court as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Small Claims Courts’ Procedure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33 of 2022 and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costs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4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It shall be lawful for the Judge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Small Claims Court, in pronouncing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or judgment in any case, to make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in respect of the payment of costs and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8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expenses as to him shall appear just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reasonable.</w:t>
      </w:r>
    </w:p>
    <w:p>
      <w:pPr>
        <w:autoSpaceDN w:val="0"/>
        <w:tabs>
          <w:tab w:pos="3844" w:val="left"/>
          <w:tab w:pos="4084" w:val="left"/>
        </w:tabs>
        <w:autoSpaceDE w:val="0"/>
        <w:widowControl/>
        <w:spacing w:line="266" w:lineRule="auto" w:before="292" w:after="0"/>
        <w:ind w:left="278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29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Any person who is dissatisfied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judgment pronounced by any Small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Court in any action, proceeding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to which he is a party, may, except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right is expressly disallowed, prefer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High Court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in which such Small Claims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situated for any error in law or in fact.</w:t>
      </w:r>
    </w:p>
    <w:p>
      <w:pPr>
        <w:autoSpaceDN w:val="0"/>
        <w:autoSpaceDE w:val="0"/>
        <w:widowControl/>
        <w:spacing w:line="269" w:lineRule="auto" w:before="294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is dissatisfied with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made by any Small Claims Court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any action, proceeding, or matter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he is or seeks to be a party, may prefer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to the High Court for the Province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such Small Claims Court is situated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such order for the correction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error in law or in fact, with the leave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High Court first had and obtained.</w:t>
      </w:r>
    </w:p>
    <w:p>
      <w:pPr>
        <w:autoSpaceDN w:val="0"/>
        <w:autoSpaceDE w:val="0"/>
        <w:widowControl/>
        <w:spacing w:line="245" w:lineRule="auto" w:before="260" w:after="0"/>
        <w:ind w:left="3844" w:right="144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is dissatisfied with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 made by any Small Claims Court setting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0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Act, No. 34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86" w:after="0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aside or refusing to set aside the judgment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upon default in the course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action, proceeding or matter to which he is,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seeks to be a party, may prefer an appeal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for the Province established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 is situated,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correction of any error of law or fact,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leave of such High Court first had and obtained.</w:t>
      </w:r>
    </w:p>
    <w:p>
      <w:pPr>
        <w:autoSpaceDN w:val="0"/>
        <w:autoSpaceDE w:val="0"/>
        <w:widowControl/>
        <w:spacing w:line="245" w:lineRule="auto" w:before="236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Chapters LVIII, LIX,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LX and LXI of the Civil Procedure Code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101) with reference to appeal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stay of execution pending appeal, shall apply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far as they are not inconsistent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Chapter.</w:t>
      </w:r>
    </w:p>
    <w:p>
      <w:pPr>
        <w:autoSpaceDN w:val="0"/>
        <w:autoSpaceDE w:val="0"/>
        <w:widowControl/>
        <w:spacing w:line="245" w:lineRule="auto" w:before="236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Judge of every Small Claims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conform to and execute all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judgments, orders, and decrees of the Supreme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Court of Appeal or High Court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Province</w:t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as shall be made and pronounced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appeal, in like manner as any original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or order pronounced by the 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Judge could or might have been executed.</w:t>
      </w:r>
    </w:p>
    <w:p>
      <w:pPr>
        <w:autoSpaceDN w:val="0"/>
        <w:tabs>
          <w:tab w:pos="2536" w:val="left"/>
          <w:tab w:pos="2776" w:val="left"/>
        </w:tabs>
        <w:autoSpaceDE w:val="0"/>
        <w:widowControl/>
        <w:spacing w:line="245" w:lineRule="auto" w:before="238" w:after="182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Amicable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29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It shall be the duty of the Judge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 by all lawful means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effort to induce the parties, before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trial, to arrive at a settlement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and if the parties agree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settlement, the settlement shall be recorded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signed by the parties and a judgment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terms as settled.”.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968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7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Section 31 of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amended by the substitution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“appeal therefrom to the Court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Appeal”, of the words and figures “appeal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31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2" w:val="left"/>
        </w:tabs>
        <w:autoSpaceDE w:val="0"/>
        <w:widowControl/>
        <w:spacing w:line="238" w:lineRule="auto" w:before="0" w:after="0"/>
        <w:ind w:left="2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 Act, No. 34 of 2022</w:t>
      </w:r>
    </w:p>
    <w:p>
      <w:pPr>
        <w:autoSpaceDN w:val="0"/>
        <w:autoSpaceDE w:val="0"/>
        <w:widowControl/>
        <w:spacing w:line="245" w:lineRule="auto" w:before="480" w:after="160"/>
        <w:ind w:left="388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therefrom to the High Court for the Province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0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Chapter VII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Chapter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Chapter VI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Chapter VII of that enactment: -</w:t>
            </w:r>
          </w:p>
        </w:tc>
      </w:tr>
    </w:tbl>
    <w:p>
      <w:pPr>
        <w:autoSpaceDN w:val="0"/>
        <w:autoSpaceDE w:val="0"/>
        <w:widowControl/>
        <w:spacing w:line="238" w:lineRule="auto" w:before="54" w:after="0"/>
        <w:ind w:left="0" w:right="2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VII</w:t>
      </w:r>
    </w:p>
    <w:p>
      <w:pPr>
        <w:autoSpaceDN w:val="0"/>
        <w:autoSpaceDE w:val="0"/>
        <w:widowControl/>
        <w:spacing w:line="238" w:lineRule="auto" w:before="220" w:after="160"/>
        <w:ind w:left="0" w:right="2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RIMARY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14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Civil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69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32. (1) Every Primary Court shall,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provisions of any other law, have original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civil jurisdiction where the debt, damage,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demand or claim does not exceed one thousand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five hundred rupees and shall also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jurisdiction in respect of the enforcement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by-laws of local authorities and matters relating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recovery of revenue of such local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authorities.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62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Primary Courts shall have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in respect of the disputes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the Fourth Schedule hereto, irrespective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value of such claim.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69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69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33. (1) Every Primary Court shall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exclusive original criminal jurisdiction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such offences as may, by regulation,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prescribed by the Minister and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in that regulation specify in the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each offence the limitations, restrictions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in respect of each such offence.</w:t>
            </w:r>
          </w:p>
        </w:tc>
      </w:tr>
    </w:tbl>
    <w:p>
      <w:pPr>
        <w:autoSpaceDN w:val="0"/>
        <w:autoSpaceDE w:val="0"/>
        <w:widowControl/>
        <w:spacing w:line="245" w:lineRule="auto" w:before="162" w:after="0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Primary Courts shall have sole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exclusive jurisdiction in respect of all offences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alleged to have been committed in violation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provisions of any enactment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subsidiary legislation made thereunder,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which jurisdiction is vested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0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Act, No. 34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7" w:lineRule="auto" w:before="494" w:after="192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Anything in this section shall not preclude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Magistrate from convicting and passing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sentence on any person found guilty after trial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offence specified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7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conciliate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disputes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98" w:right="138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34. (1) Where any civil proceeding or matter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instituted in a Primary Court, it shall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duty of the Judge of that Primary Court to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498" w:right="28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 the parties to appear before him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wherever appropriate to make every effort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induce such parties to arrive at a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proceeding to inquiry or trial. Where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parties agree to a settlement,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shall be recorded and signed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thereto and shall be entered as a decree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said Primary Court and be enforceable,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a decree thereof.</w:t>
      </w:r>
    </w:p>
    <w:p>
      <w:pPr>
        <w:autoSpaceDN w:val="0"/>
        <w:autoSpaceDE w:val="0"/>
        <w:widowControl/>
        <w:spacing w:line="250" w:lineRule="auto" w:before="252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criminal proceeding or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instituted in a Primary Court, it shall be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of the Judge of that Court to summon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concerned to appear before him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wherever appropriate to induce such parties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arrive at a settlement. Where such parties agree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settlement, such settlement shall be recorded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signed by the parties concerned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law, the offence to which the proceeding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matter relates shall be compounded.</w:t>
      </w:r>
    </w:p>
    <w:p>
      <w:pPr>
        <w:autoSpaceDN w:val="0"/>
        <w:tabs>
          <w:tab w:pos="2498" w:val="left"/>
          <w:tab w:pos="2738" w:val="left"/>
        </w:tabs>
        <w:autoSpaceDE w:val="0"/>
        <w:widowControl/>
        <w:spacing w:line="250" w:lineRule="auto" w:before="252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35. (1) Any party aggrieved by any judgment,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order, decree, conviction or sentence, 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imposed after inquiry or trial by a Primary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may, subject to any law and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law, regulation or rule governing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and manner for so appealing, prefer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appeal therefrom to the High Court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 for any error in law or in fact: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2" w:val="left"/>
        </w:tabs>
        <w:autoSpaceDE w:val="0"/>
        <w:widowControl/>
        <w:spacing w:line="238" w:lineRule="auto" w:before="0" w:after="0"/>
        <w:ind w:left="2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 Act, No. 34 of 2022</w:t>
      </w:r>
    </w:p>
    <w:p>
      <w:pPr>
        <w:autoSpaceDN w:val="0"/>
        <w:autoSpaceDE w:val="0"/>
        <w:widowControl/>
        <w:spacing w:line="245" w:lineRule="auto" w:before="486" w:after="0"/>
        <w:ind w:left="3844" w:right="145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where there is no such law,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or rule governing the procedure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for so appealing, the provisions relating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appeals from a Magistrate’s Court shall apply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 appeal in a criminal matter or proceeding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provisions relating to appeals from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Court shall apply to an appeal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civil matter or proceeding.</w:t>
      </w:r>
    </w:p>
    <w:p>
      <w:pPr>
        <w:autoSpaceDN w:val="0"/>
        <w:autoSpaceDE w:val="0"/>
        <w:widowControl/>
        <w:spacing w:line="245" w:lineRule="auto" w:before="242" w:after="164"/>
        <w:ind w:left="3844" w:right="145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appeal shall lie from any judgment,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order, decree, conviction or sentence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imposed by reason of a settlement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dispute between the parties arrived at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this Chapter.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Procedure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Primary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8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36. All proceedings in a Primary Court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instituted and conducted as expeditiously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possible in accordance with such law as may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32"/>
        <w:ind w:left="384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applicable thereto and, if there be no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in accordance with the provisions relating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summary procedure in the Civil Procedure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(Chapter 101) in respect of a civil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proceeding and in accordance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relating to summary trials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in respect of a criminal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matter or proceeding.”.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67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37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24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37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</w:tr>
      <w:tr>
        <w:trPr>
          <w:trHeight w:hRule="exact" w:val="1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“Right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Supreme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8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37. There shall be a right of 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Supreme Court in accordance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the Constitution and of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law–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any judgment or order of the Court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432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Appeal in any appeal from the High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Cout of the Republic of Sri Lanka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for the Province established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0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Act, No. 34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492" w:after="170"/>
        <w:ind w:left="25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judgment or order of the High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for the Province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Constituton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from the District Courts,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Courts, the Small Claims Courts,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Magistrates’ Courts or the Primary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1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38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follows:-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38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8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 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renumbered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 thereof, of the following subsection:-</w:t>
      </w:r>
    </w:p>
    <w:p>
      <w:pPr>
        <w:autoSpaceDN w:val="0"/>
        <w:autoSpaceDE w:val="0"/>
        <w:widowControl/>
        <w:spacing w:line="245" w:lineRule="auto" w:before="230" w:after="170"/>
        <w:ind w:left="2156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Every Courts of First Instance other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High Court for the Province established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in all cases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from such Courts of First Instance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for the Province established by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conform to and execute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judgments, orders and decrees of the High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 for the 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Constitution, as shall be made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pronounced in such appeal in like manner as though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judgment, order or decree was made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pronounced by such Courts of First Instance.”.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9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(4)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  <w:p>
            <w:pPr>
              <w:autoSpaceDN w:val="0"/>
              <w:autoSpaceDE w:val="0"/>
              <w:widowControl/>
              <w:spacing w:line="235" w:lineRule="auto" w:before="2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“(4) Every Justice of the Peace and every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45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Unofficial Magistrate appointed under subsections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(2 ) and (3 ) shall take and subscribe or make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subscribe an oath or affirmation of office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as may be determined by the Minister before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of the High Court, District Judge, Judge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Family Court, Judge of the Small Claims Court,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2" w:val="left"/>
        </w:tabs>
        <w:autoSpaceDE w:val="0"/>
        <w:widowControl/>
        <w:spacing w:line="238" w:lineRule="auto" w:before="0" w:after="0"/>
        <w:ind w:left="2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 Act, No. 34 of 2022</w:t>
      </w:r>
    </w:p>
    <w:p>
      <w:pPr>
        <w:autoSpaceDN w:val="0"/>
        <w:autoSpaceDE w:val="0"/>
        <w:widowControl/>
        <w:spacing w:line="266" w:lineRule="auto" w:before="504" w:after="222"/>
        <w:ind w:left="3484" w:right="14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Magistrate, or Judge of the Primary Court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Judge is empowered and required, upon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in that behalf, to administer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enter in the records of his court that the 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oath or affirmation was duly administered and taken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him, and forthwith to transmit a copy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entry to the Registrar of the Supreme Court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entered in the records of that 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49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0" w:after="0"/>
              <w:ind w:left="12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the proviso to subsection (3)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the substitution therefor, of the following :-</w:t>
            </w:r>
          </w:p>
        </w:tc>
      </w:tr>
    </w:tbl>
    <w:p>
      <w:pPr>
        <w:autoSpaceDN w:val="0"/>
        <w:autoSpaceDE w:val="0"/>
        <w:widowControl/>
        <w:spacing w:line="269" w:lineRule="auto" w:before="232" w:after="234"/>
        <w:ind w:left="32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 in every other case some other Judge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High Court of the Republic of Sri Lanka,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for the Province established by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Constitution, the District Court, Family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Small Claims Court, Magistrate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and Judge of the Primary Court,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be, of any adjoining zone, district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shall have jurisdiction to hear, try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such action, prosecution, proceeding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matter.”.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4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52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54" w:lineRule="auto" w:before="60" w:after="0"/>
              <w:ind w:left="12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52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</w:tr>
    </w:tbl>
    <w:p>
      <w:pPr>
        <w:autoSpaceDN w:val="0"/>
        <w:tabs>
          <w:tab w:pos="3078" w:val="left"/>
          <w:tab w:pos="3484" w:val="left"/>
        </w:tabs>
        <w:autoSpaceDE w:val="0"/>
        <w:widowControl/>
        <w:spacing w:line="266" w:lineRule="auto" w:before="4" w:after="0"/>
        <w:ind w:left="134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“to the High Court and to each of the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Courts, Small Claims Courts and Magistrates’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Courts”, of the words and figures “to the High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Republic of Sri Lanka, and to the High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and to each of the  District Courts,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Family Courts, Small Claims Courts, Magistrates’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Courts and Primary Courts”;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0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Act, No. 34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4" w:lineRule="auto" w:before="494" w:after="20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“Registrar of the High Court”, of the words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“Registrar of the High Court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 of Sri Lanka and the Registrar of the High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for the 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8" w:right="10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thereto by the substitution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“Where in any action instituted in a High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Court or Small Claims Court, it appears-”, of the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2" w:lineRule="auto" w:before="8" w:after="206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“Where in any action instituted in a High Court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 of Sri Lanka, High Court for the Province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Constitution, District </w:t>
      </w:r>
      <w:r>
        <w:rPr>
          <w:rFonts w:ascii="Times" w:hAnsi="Times" w:eastAsia="Times"/>
          <w:b w:val="0"/>
          <w:i w:val="0"/>
          <w:color w:val="000000"/>
          <w:sz w:val="20"/>
        </w:rPr>
        <w:t>Court, Family Court or Small Claims Court, it  appears-”.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6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“Contempt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55. (1) Every District Court, Family Court,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Small Claims Court, Magistrate’s Court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Primary Court shall,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its proper authority and efficiency,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 special jurisdiction to take cognizance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of, and to punish with the penalties in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as hereinafter provided, every offence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contempt of court committed in the presence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court itself and all offences which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in the course of any act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in the said court respectively,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declared by any law for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in force to be punishable as contempt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autoSpaceDE w:val="0"/>
        <w:widowControl/>
        <w:spacing w:line="252" w:lineRule="auto" w:before="266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following sentences of fines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as the case may be,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on conviction for contempt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courts respectively, namely-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2" w:val="left"/>
        </w:tabs>
        <w:autoSpaceDE w:val="0"/>
        <w:widowControl/>
        <w:spacing w:line="238" w:lineRule="auto" w:before="0" w:after="0"/>
        <w:ind w:left="2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 Act, No. 34 of 2022</w:t>
      </w:r>
    </w:p>
    <w:p>
      <w:pPr>
        <w:autoSpaceDN w:val="0"/>
        <w:tabs>
          <w:tab w:pos="4924" w:val="left"/>
        </w:tabs>
        <w:autoSpaceDE w:val="0"/>
        <w:widowControl/>
        <w:spacing w:line="245" w:lineRule="auto" w:before="486" w:after="0"/>
        <w:ind w:left="450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District Court and Family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exceeding two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five hundred rupees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imprisonment, either simple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rigorous, for a period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two years;</w:t>
      </w:r>
    </w:p>
    <w:p>
      <w:pPr>
        <w:autoSpaceDN w:val="0"/>
        <w:tabs>
          <w:tab w:pos="4924" w:val="left"/>
        </w:tabs>
        <w:autoSpaceDE w:val="0"/>
        <w:widowControl/>
        <w:spacing w:line="245" w:lineRule="auto" w:before="242" w:after="0"/>
        <w:ind w:left="450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Small Claims Court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Magistrate’s Court –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one thousand five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rupees or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simple or rigorous,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not exceeding eighteen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months; and</w:t>
      </w:r>
    </w:p>
    <w:p>
      <w:pPr>
        <w:autoSpaceDN w:val="0"/>
        <w:tabs>
          <w:tab w:pos="4924" w:val="left"/>
        </w:tabs>
        <w:autoSpaceDE w:val="0"/>
        <w:widowControl/>
        <w:spacing w:line="245" w:lineRule="auto" w:before="242" w:after="146"/>
        <w:ind w:left="450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 Primary Court –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hundred rupees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imprisonment, either simple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rigorous, for a period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three 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0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57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71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56 of the principal enactment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57 of that enactment: -</w:t>
            </w:r>
          </w:p>
        </w:tc>
      </w:tr>
      <w:tr>
        <w:trPr>
          <w:trHeight w:hRule="exact" w:val="10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Judge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Primary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2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57. Where a Judge of a primary Court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judicial division established under this Act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been appointed, the Magistrate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 shall be deemed for all purpose to be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exercise all jurisdiction of the Judge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Primary Court of such division until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Judge of such Primary Court is appointed:</w:t>
      </w:r>
    </w:p>
    <w:p>
      <w:pPr>
        <w:autoSpaceDN w:val="0"/>
        <w:autoSpaceDE w:val="0"/>
        <w:widowControl/>
        <w:spacing w:line="245" w:lineRule="auto" w:before="242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where a Judge of a Primary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such division is appointed,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of such division may hear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all prosecutions, actions,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or matters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has commenced the recording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evidence.”.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 Act, No. 34 of 2022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Third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Schedules to the</w:t>
            </w:r>
          </w:p>
        </w:tc>
      </w:tr>
      <w:tr>
        <w:trPr>
          <w:trHeight w:hRule="exact" w:val="102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2" w:after="0"/>
              <w:ind w:left="718" w:right="14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principal enactment is hereby amended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insertion immediately after the Second Schedule thereof,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Schedules: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p>
      <w:pPr>
        <w:autoSpaceDN w:val="0"/>
        <w:tabs>
          <w:tab w:pos="6476" w:val="left"/>
        </w:tabs>
        <w:autoSpaceDE w:val="0"/>
        <w:widowControl/>
        <w:spacing w:line="317" w:lineRule="auto" w:before="10" w:after="0"/>
        <w:ind w:left="30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“THIRD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106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[Section 24(2)]</w:t>
      </w:r>
    </w:p>
    <w:p>
      <w:pPr>
        <w:autoSpaceDN w:val="0"/>
        <w:autoSpaceDE w:val="0"/>
        <w:widowControl/>
        <w:spacing w:line="238" w:lineRule="auto" w:before="22" w:after="0"/>
        <w:ind w:left="0" w:right="4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Enactments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68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Adoption of Children Ordinance (Chapter 61)</w:t>
      </w:r>
    </w:p>
    <w:p>
      <w:pPr>
        <w:autoSpaceDN w:val="0"/>
        <w:tabs>
          <w:tab w:pos="2098" w:val="left"/>
        </w:tabs>
        <w:autoSpaceDE w:val="0"/>
        <w:widowControl/>
        <w:spacing w:line="238" w:lineRule="auto" w:before="246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Births and Deaths Registration Act (Chapter 110)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44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Civil Procedure Code (Chapter 101)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76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Jaffna Matrimonial Rights and Inheritance Ordinance</w:t>
      </w:r>
    </w:p>
    <w:p>
      <w:pPr>
        <w:autoSpaceDN w:val="0"/>
        <w:autoSpaceDE w:val="0"/>
        <w:widowControl/>
        <w:spacing w:line="235" w:lineRule="auto" w:before="1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(Chapter 58)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04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Legitimacy Act, No. 3 of 1970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04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Marriage Registration Ordinance (Chapter 112)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04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Married Women’s Property Ordinance (Chapter 56)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04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Matrimonial Rights and Inheritance Ordinance (Chapter 57)</w:t>
      </w:r>
    </w:p>
    <w:p>
      <w:pPr>
        <w:autoSpaceDN w:val="0"/>
        <w:autoSpaceDE w:val="0"/>
        <w:widowControl/>
        <w:spacing w:line="235" w:lineRule="auto" w:before="204" w:after="0"/>
        <w:ind w:left="0" w:right="4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FOURTH SCHEDULE</w:t>
      </w:r>
    </w:p>
    <w:p>
      <w:pPr>
        <w:autoSpaceDN w:val="0"/>
        <w:autoSpaceDE w:val="0"/>
        <w:widowControl/>
        <w:spacing w:line="238" w:lineRule="auto" w:before="18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[Section 32(2)]</w:t>
      </w:r>
    </w:p>
    <w:p>
      <w:pPr>
        <w:autoSpaceDN w:val="0"/>
        <w:autoSpaceDE w:val="0"/>
        <w:widowControl/>
        <w:spacing w:line="235" w:lineRule="auto" w:before="196" w:after="0"/>
        <w:ind w:left="19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Actions excluded from the jurisdiction of Primary Courts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04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action concerning an act or order purporting to be</w:t>
      </w:r>
    </w:p>
    <w:p>
      <w:pPr>
        <w:autoSpaceDN w:val="0"/>
        <w:autoSpaceDE w:val="0"/>
        <w:widowControl/>
        <w:spacing w:line="235" w:lineRule="auto" w:before="1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done or made by the State or concerning an act purporting</w:t>
      </w:r>
    </w:p>
    <w:p>
      <w:pPr>
        <w:autoSpaceDN w:val="0"/>
        <w:autoSpaceDE w:val="0"/>
        <w:widowControl/>
        <w:spacing w:line="235" w:lineRule="auto" w:before="1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be done by any person by order of the State.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04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action concerning an act purporting to be done by any</w:t>
      </w:r>
    </w:p>
    <w:p>
      <w:pPr>
        <w:autoSpaceDN w:val="0"/>
        <w:autoSpaceDE w:val="0"/>
        <w:widowControl/>
        <w:spacing w:line="235" w:lineRule="auto" w:before="1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person in pursuance of a judgement or order of a court or</w:t>
      </w:r>
    </w:p>
    <w:p>
      <w:pPr>
        <w:autoSpaceDN w:val="0"/>
        <w:autoSpaceDE w:val="0"/>
        <w:widowControl/>
        <w:spacing w:line="235" w:lineRule="auto" w:before="1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a judicial officer acting in the execution of his office.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04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action concerning any act or order purporting to be</w:t>
      </w:r>
    </w:p>
    <w:p>
      <w:pPr>
        <w:autoSpaceDN w:val="0"/>
        <w:autoSpaceDE w:val="0"/>
        <w:widowControl/>
        <w:spacing w:line="235" w:lineRule="auto" w:before="1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done or made by any officer of the State in his official</w:t>
      </w:r>
    </w:p>
    <w:p>
      <w:pPr>
        <w:autoSpaceDN w:val="0"/>
        <w:autoSpaceDE w:val="0"/>
        <w:widowControl/>
        <w:spacing w:line="235" w:lineRule="auto" w:before="1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capacity.</w:t>
      </w:r>
    </w:p>
    <w:p>
      <w:pPr>
        <w:autoSpaceDN w:val="0"/>
        <w:tabs>
          <w:tab w:pos="2098" w:val="left"/>
        </w:tabs>
        <w:autoSpaceDE w:val="0"/>
        <w:widowControl/>
        <w:spacing w:line="235" w:lineRule="auto" w:before="204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action for the partition or sale of immovable property</w:t>
      </w:r>
    </w:p>
    <w:p>
      <w:pPr>
        <w:autoSpaceDN w:val="0"/>
        <w:autoSpaceDE w:val="0"/>
        <w:widowControl/>
        <w:spacing w:line="235" w:lineRule="auto" w:before="1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under the law relating to partition for the time being in</w:t>
      </w:r>
    </w:p>
    <w:p>
      <w:pPr>
        <w:autoSpaceDN w:val="0"/>
        <w:autoSpaceDE w:val="0"/>
        <w:widowControl/>
        <w:spacing w:line="235" w:lineRule="auto" w:before="1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(5)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 Act, No. 34 of 2022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action by a mortgagee of immovable property for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442" w:right="14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enforcement of the mortgage or for the sale of the property,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by a mortgagor of immovable property for the redemption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the mortgage.</w:t>
      </w:r>
    </w:p>
    <w:p>
      <w:pPr>
        <w:autoSpaceDN w:val="0"/>
        <w:tabs>
          <w:tab w:pos="3424" w:val="left"/>
        </w:tabs>
        <w:autoSpaceDE w:val="0"/>
        <w:widowControl/>
        <w:spacing w:line="238" w:lineRule="auto" w:before="202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action to restrain waste.</w:t>
      </w:r>
    </w:p>
    <w:p>
      <w:pPr>
        <w:autoSpaceDN w:val="0"/>
        <w:tabs>
          <w:tab w:pos="3424" w:val="left"/>
          <w:tab w:pos="3442" w:val="left"/>
        </w:tabs>
        <w:autoSpaceDE w:val="0"/>
        <w:widowControl/>
        <w:spacing w:line="247" w:lineRule="auto" w:before="202" w:after="0"/>
        <w:ind w:left="306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to recover from a person to whom compensation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been paid under the Land Acquisition Act (Chapter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460) or Land Reform Law No. 1 of 1972, the whole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part of the compensation.</w:t>
      </w:r>
    </w:p>
    <w:p>
      <w:pPr>
        <w:autoSpaceDN w:val="0"/>
        <w:tabs>
          <w:tab w:pos="3424" w:val="left"/>
          <w:tab w:pos="3442" w:val="left"/>
        </w:tabs>
        <w:autoSpaceDE w:val="0"/>
        <w:widowControl/>
        <w:spacing w:line="245" w:lineRule="auto" w:before="202" w:after="0"/>
        <w:ind w:left="306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specific performance or rescission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contract or for damages for breach of contract.</w:t>
      </w:r>
    </w:p>
    <w:p>
      <w:pPr>
        <w:autoSpaceDN w:val="0"/>
        <w:tabs>
          <w:tab w:pos="3424" w:val="left"/>
          <w:tab w:pos="3442" w:val="left"/>
        </w:tabs>
        <w:autoSpaceDE w:val="0"/>
        <w:widowControl/>
        <w:spacing w:line="245" w:lineRule="auto" w:before="202" w:after="0"/>
        <w:ind w:left="306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rectification or cancellation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injunction.</w:t>
      </w:r>
    </w:p>
    <w:p>
      <w:pPr>
        <w:autoSpaceDN w:val="0"/>
        <w:autoSpaceDE w:val="0"/>
        <w:widowControl/>
        <w:spacing w:line="238" w:lineRule="auto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(10) Any action to obtain an injunction.</w:t>
      </w:r>
    </w:p>
    <w:p>
      <w:pPr>
        <w:autoSpaceDN w:val="0"/>
        <w:autoSpaceDE w:val="0"/>
        <w:widowControl/>
        <w:spacing w:line="254" w:lineRule="auto" w:before="214" w:after="0"/>
        <w:ind w:left="3442" w:right="1476" w:hanging="37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(11) Any action relating to a trust including an action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out of the general estate of a deceased trustee the loss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occasioned by a breach of trust, and any action by a co-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trustee to enforce against the estate of a deceased trustee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claim for the contribution.</w:t>
      </w:r>
    </w:p>
    <w:p>
      <w:pPr>
        <w:autoSpaceDN w:val="0"/>
        <w:tabs>
          <w:tab w:pos="3442" w:val="left"/>
        </w:tabs>
        <w:autoSpaceDE w:val="0"/>
        <w:widowControl/>
        <w:spacing w:line="247" w:lineRule="auto" w:before="214" w:after="0"/>
        <w:ind w:left="306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(12) Any action for a declaratory decree including a decree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declaration of title to land.</w:t>
      </w:r>
    </w:p>
    <w:p>
      <w:pPr>
        <w:autoSpaceDN w:val="0"/>
        <w:tabs>
          <w:tab w:pos="3442" w:val="left"/>
        </w:tabs>
        <w:autoSpaceDE w:val="0"/>
        <w:widowControl/>
        <w:spacing w:line="247" w:lineRule="auto" w:before="216" w:after="0"/>
        <w:ind w:left="306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(13) Any action for a property which the plaintiff has conveyed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while insane or under other incapacity.</w:t>
      </w:r>
    </w:p>
    <w:p>
      <w:pPr>
        <w:autoSpaceDN w:val="0"/>
        <w:tabs>
          <w:tab w:pos="3442" w:val="left"/>
        </w:tabs>
        <w:autoSpaceDE w:val="0"/>
        <w:widowControl/>
        <w:spacing w:line="317" w:lineRule="auto" w:before="214" w:after="0"/>
        <w:ind w:left="306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(14) Any action to contest an award made by an arbitrator.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(15) Any action upon a foreign judgement as defined in the Civil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Procedure Code (Chapter 101) or upon a judgement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obtained in any court in Sri Lanka.</w:t>
      </w:r>
    </w:p>
    <w:p>
      <w:pPr>
        <w:autoSpaceDN w:val="0"/>
        <w:autoSpaceDE w:val="0"/>
        <w:widowControl/>
        <w:spacing w:line="252" w:lineRule="auto" w:before="214" w:after="0"/>
        <w:ind w:left="3442" w:right="1476" w:hanging="37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(16) Any action to compel a refund by a person to whom an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executor or administrator has paid a legacy or distributed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assets.</w:t>
      </w:r>
    </w:p>
    <w:p>
      <w:pPr>
        <w:autoSpaceDN w:val="0"/>
        <w:autoSpaceDE w:val="0"/>
        <w:widowControl/>
        <w:spacing w:line="252" w:lineRule="auto" w:before="214" w:after="0"/>
        <w:ind w:left="3442" w:right="1476" w:hanging="37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(17) Any action for a legacy or for the whole or a share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residue bequeathed by a testator or for the whole or a share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the property of an intestate.</w:t>
      </w:r>
    </w:p>
    <w:p>
      <w:pPr>
        <w:autoSpaceDN w:val="0"/>
        <w:autoSpaceDE w:val="0"/>
        <w:widowControl/>
        <w:spacing w:line="238" w:lineRule="auto" w:before="214" w:after="0"/>
        <w:ind w:left="0" w:right="4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(18) Any action-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0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Act, No. 34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878" w:val="left"/>
        </w:tabs>
        <w:autoSpaceDE w:val="0"/>
        <w:widowControl/>
        <w:spacing w:line="338" w:lineRule="auto" w:before="492" w:after="0"/>
        <w:ind w:left="25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a dissolution of partnership or for the winding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of the business of a partnership after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dissolution;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an account of partnership transactions;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 a balance of partnership-account.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190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(19) Any action for an account of property administered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decree or order of any court.</w:t>
      </w:r>
    </w:p>
    <w:p>
      <w:pPr>
        <w:autoSpaceDN w:val="0"/>
        <w:autoSpaceDE w:val="0"/>
        <w:widowControl/>
        <w:spacing w:line="245" w:lineRule="auto" w:before="190" w:after="0"/>
        <w:ind w:left="2138" w:right="2782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(20) Any other action for an account, including an action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mortgagor, after the mortgage has been satisfied, to recover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surplus collection received by the mortgagee, and any 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profits on immovable property belonging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plaintiff which has been wrongfully received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defendant.</w:t>
      </w:r>
    </w:p>
    <w:p>
      <w:pPr>
        <w:autoSpaceDN w:val="0"/>
        <w:tabs>
          <w:tab w:pos="2138" w:val="left"/>
        </w:tabs>
        <w:autoSpaceDE w:val="0"/>
        <w:widowControl/>
        <w:spacing w:line="322" w:lineRule="auto" w:before="190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(21) Any action for a general average loss or for salvage.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(22) Any action for compensation in respect of collision between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ships.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190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(23) Any action on a policy of insurance or for the recovery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premium paid under any such policy.</w:t>
      </w:r>
    </w:p>
    <w:p>
      <w:pPr>
        <w:autoSpaceDN w:val="0"/>
        <w:tabs>
          <w:tab w:pos="2498" w:val="left"/>
          <w:tab w:pos="2878" w:val="left"/>
        </w:tabs>
        <w:autoSpaceDE w:val="0"/>
        <w:widowControl/>
        <w:spacing w:line="389" w:lineRule="auto" w:before="190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(24) Any action for compensation or damages 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loss resulting from the death of a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caused by actionable wrong;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wrongful arrest;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malicious prosecution;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wrongful restraint or confinement;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defamation; </w:t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adultery or seduction;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breach of contract of betrothal or promise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inducing a person to break a contract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the plaintiff;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obstruction to or interference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enjoyment of any servitude or the exercise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right over property.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2" w:val="left"/>
        </w:tabs>
        <w:autoSpaceDE w:val="0"/>
        <w:widowControl/>
        <w:spacing w:line="238" w:lineRule="auto" w:before="0" w:after="0"/>
        <w:ind w:left="2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 Act, No. 34 of 2022</w:t>
      </w:r>
    </w:p>
    <w:p>
      <w:pPr>
        <w:autoSpaceDN w:val="0"/>
        <w:autoSpaceDE w:val="0"/>
        <w:widowControl/>
        <w:spacing w:line="238" w:lineRule="auto" w:before="496" w:after="0"/>
        <w:ind w:left="0" w:right="19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(25) Any action by a Muslim for the recovery of Mahr.</w:t>
      </w:r>
    </w:p>
    <w:p>
      <w:pPr>
        <w:autoSpaceDN w:val="0"/>
        <w:autoSpaceDE w:val="0"/>
        <w:widowControl/>
        <w:spacing w:line="235" w:lineRule="auto" w:before="208" w:after="0"/>
        <w:ind w:left="0" w:right="2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(26) Any action for the custody of a minor.</w:t>
      </w:r>
    </w:p>
    <w:p>
      <w:pPr>
        <w:autoSpaceDN w:val="0"/>
        <w:autoSpaceDE w:val="0"/>
        <w:widowControl/>
        <w:spacing w:line="238" w:lineRule="auto" w:before="206" w:after="0"/>
        <w:ind w:left="0" w:right="2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(27) Any action for a divorce or a judicial separation.</w:t>
      </w:r>
    </w:p>
    <w:p>
      <w:pPr>
        <w:autoSpaceDN w:val="0"/>
        <w:autoSpaceDE w:val="0"/>
        <w:widowControl/>
        <w:spacing w:line="238" w:lineRule="auto" w:before="20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(28) Any action relating to maintenance, affiliation or adoption.</w:t>
      </w:r>
    </w:p>
    <w:p>
      <w:pPr>
        <w:autoSpaceDN w:val="0"/>
        <w:autoSpaceDE w:val="0"/>
        <w:widowControl/>
        <w:spacing w:line="247" w:lineRule="auto" w:before="208" w:after="0"/>
        <w:ind w:left="3484" w:right="143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(29) Any action for contribution by a sharer in joint property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of a payment made by him of money due from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co-sharer.</w:t>
      </w:r>
    </w:p>
    <w:p>
      <w:pPr>
        <w:autoSpaceDN w:val="0"/>
        <w:autoSpaceDE w:val="0"/>
        <w:widowControl/>
        <w:spacing w:line="247" w:lineRule="auto" w:before="206" w:after="0"/>
        <w:ind w:left="3484" w:right="143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(30) Any action by one of several joint mortgagors of immovable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property for contribution in respect of money paid by him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for the redemption of the mortgaged property.</w:t>
      </w:r>
    </w:p>
    <w:p>
      <w:pPr>
        <w:autoSpaceDN w:val="0"/>
        <w:autoSpaceDE w:val="0"/>
        <w:widowControl/>
        <w:spacing w:line="247" w:lineRule="auto" w:before="206" w:after="0"/>
        <w:ind w:left="3484" w:right="143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(31) Any action against the State or a local authority to recover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money paid under protest in satisfaction of a claim made 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account of any tax or rate or other levy.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02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(32) Any action under the Companies Act, No. 7 of 2007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amended from time to time.</w:t>
      </w:r>
    </w:p>
    <w:p>
      <w:pPr>
        <w:autoSpaceDN w:val="0"/>
        <w:autoSpaceDE w:val="0"/>
        <w:widowControl/>
        <w:spacing w:line="245" w:lineRule="auto" w:before="202" w:after="0"/>
        <w:ind w:left="3024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(33) Any action relating to trade marks, patents or copyrights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under the Intellectual Property Act, No. 36 of 2003.</w:t>
      </w:r>
    </w:p>
    <w:p>
      <w:pPr>
        <w:autoSpaceDN w:val="0"/>
        <w:autoSpaceDE w:val="0"/>
        <w:widowControl/>
        <w:spacing w:line="238" w:lineRule="auto" w:before="202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(34) Any action founded on nuisance.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02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(35) Any action for rent and ejectment and proceedings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Rent Act, No. 7 of 1972.</w:t>
      </w:r>
    </w:p>
    <w:p>
      <w:pPr>
        <w:autoSpaceDN w:val="0"/>
        <w:autoSpaceDE w:val="0"/>
        <w:widowControl/>
        <w:spacing w:line="245" w:lineRule="auto" w:before="202" w:after="0"/>
        <w:ind w:left="3484" w:right="1296" w:hanging="38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(36) Any action expressly or by implication excluded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jurisdiction of Primary Courts by any written law (other</w:t>
      </w:r>
    </w:p>
    <w:p>
      <w:pPr>
        <w:autoSpaceDN w:val="0"/>
        <w:autoSpaceDE w:val="0"/>
        <w:widowControl/>
        <w:spacing w:line="235" w:lineRule="auto" w:before="42" w:after="198"/>
        <w:ind w:left="0" w:right="2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than this Act) for the time being in force.”.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Seventh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principal enactment is hereby amended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addition immediately after the Sixth Schedule thereof,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Schedule: -</w:t>
            </w:r>
          </w:p>
        </w:tc>
      </w:tr>
    </w:tbl>
    <w:p>
      <w:pPr>
        <w:autoSpaceDN w:val="0"/>
        <w:tabs>
          <w:tab w:pos="4450" w:val="left"/>
          <w:tab w:pos="6442" w:val="left"/>
        </w:tabs>
        <w:autoSpaceDE w:val="0"/>
        <w:widowControl/>
        <w:spacing w:line="276" w:lineRule="auto" w:before="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“SEVENTH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 29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(2)]</w:t>
      </w:r>
    </w:p>
    <w:p>
      <w:pPr>
        <w:autoSpaceDN w:val="0"/>
        <w:autoSpaceDE w:val="0"/>
        <w:widowControl/>
        <w:spacing w:line="238" w:lineRule="auto" w:before="164" w:after="0"/>
        <w:ind w:left="0" w:right="3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Actions</w:t>
      </w:r>
    </w:p>
    <w:p>
      <w:pPr>
        <w:autoSpaceDN w:val="0"/>
        <w:tabs>
          <w:tab w:pos="3462" w:val="left"/>
          <w:tab w:pos="3484" w:val="left"/>
        </w:tabs>
        <w:autoSpaceDE w:val="0"/>
        <w:widowControl/>
        <w:spacing w:line="247" w:lineRule="auto" w:before="202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recovery of money (either as a debt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 or payment or damage or demand including an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recovery of damages on accident or personal injury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 in any other similar category);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0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Act, No. 34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116" w:val="left"/>
        </w:tabs>
        <w:autoSpaceDE w:val="0"/>
        <w:widowControl/>
        <w:spacing w:line="238" w:lineRule="auto" w:before="494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action for the recovery of movable property;</w:t>
      </w:r>
    </w:p>
    <w:p>
      <w:pPr>
        <w:autoSpaceDN w:val="0"/>
        <w:tabs>
          <w:tab w:pos="2116" w:val="left"/>
        </w:tabs>
        <w:autoSpaceDE w:val="0"/>
        <w:widowControl/>
        <w:spacing w:line="238" w:lineRule="auto" w:before="20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action for a counterclaim in respect of any cause of</w:t>
      </w:r>
    </w:p>
    <w:p>
      <w:pPr>
        <w:autoSpaceDN w:val="0"/>
        <w:autoSpaceDE w:val="0"/>
        <w:widowControl/>
        <w:spacing w:line="238" w:lineRule="auto" w:before="10" w:after="0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action specified in items 1 and 2;</w:t>
      </w:r>
    </w:p>
    <w:p>
      <w:pPr>
        <w:autoSpaceDN w:val="0"/>
        <w:tabs>
          <w:tab w:pos="2116" w:val="left"/>
        </w:tabs>
        <w:autoSpaceDE w:val="0"/>
        <w:widowControl/>
        <w:spacing w:line="238" w:lineRule="auto" w:before="20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other jurisdiction as is conferred upon it by any other</w:t>
      </w:r>
    </w:p>
    <w:p>
      <w:pPr>
        <w:autoSpaceDN w:val="0"/>
        <w:autoSpaceDE w:val="0"/>
        <w:widowControl/>
        <w:spacing w:line="238" w:lineRule="auto" w:before="44" w:after="202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law.”.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3.9999999999998" w:type="dxa"/>
      </w:tblPr>
      <w:tblGrid>
        <w:gridCol w:w="4510"/>
        <w:gridCol w:w="4510"/>
      </w:tblGrid>
      <w:tr>
        <w:trPr>
          <w:trHeight w:hRule="exact" w:val="9336"/>
        </w:trPr>
        <w:tc>
          <w:tcPr>
            <w:tcW w:type="dxa" w:w="17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4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 Act, No. 34 of 2022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